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-283.46456692913375" w:firstLine="0"/>
        <w:rPr/>
      </w:pPr>
      <w:bookmarkStart w:colFirst="0" w:colLast="0" w:name="_oszru3l1rveg" w:id="0"/>
      <w:bookmarkEnd w:id="0"/>
      <w:r w:rsidDel="00000000" w:rsidR="00000000" w:rsidRPr="00000000">
        <w:rPr>
          <w:rtl w:val="0"/>
        </w:rPr>
        <w:t xml:space="preserve">Change Management Checklist for Scaling Technology Impact</w:t>
      </w:r>
    </w:p>
    <w:p w:rsidR="00000000" w:rsidDel="00000000" w:rsidP="00000000" w:rsidRDefault="00000000" w:rsidRPr="00000000" w14:paraId="00000002">
      <w:pPr>
        <w:ind w:left="-283.46456692913375" w:firstLine="0"/>
        <w:rPr>
          <w:rFonts w:ascii="Figtree" w:cs="Figtree" w:eastAsia="Figtree" w:hAnsi="Figtree"/>
          <w:sz w:val="18"/>
          <w:szCs w:val="18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A step-by-step guide for campus teams to plan, launch, and sustain successful technology adoption and engagement.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rPr/>
      </w:pPr>
      <w:bookmarkStart w:colFirst="0" w:colLast="0" w:name="_psn09lq9mc1j" w:id="1"/>
      <w:bookmarkEnd w:id="1"/>
      <w:r w:rsidDel="00000000" w:rsidR="00000000" w:rsidRPr="00000000">
        <w:rPr>
          <w:rtl w:val="0"/>
        </w:rPr>
        <w:t xml:space="preserve">1. Pre-Launch Planning</w:t>
      </w:r>
    </w:p>
    <w:p w:rsidR="00000000" w:rsidDel="00000000" w:rsidP="00000000" w:rsidRDefault="00000000" w:rsidRPr="00000000" w14:paraId="00000004">
      <w:pPr>
        <w:spacing w:after="240" w:before="24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Build clarity, alignment, and readiness before rollout.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rPr>
          <w:rFonts w:ascii="Figtree SemiBold" w:cs="Figtree SemiBold" w:eastAsia="Figtree SemiBold" w:hAnsi="Figtree SemiBold"/>
          <w:color w:val="000000"/>
          <w:sz w:val="26"/>
          <w:szCs w:val="26"/>
        </w:rPr>
      </w:pPr>
      <w:bookmarkStart w:colFirst="0" w:colLast="0" w:name="_9g4cl5qe61in" w:id="2"/>
      <w:bookmarkEnd w:id="2"/>
      <w:r w:rsidDel="00000000" w:rsidR="00000000" w:rsidRPr="00000000">
        <w:rPr>
          <w:rtl w:val="0"/>
        </w:rPr>
        <w:t xml:space="preserve">Foundational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Confirm institutional goals the tool supports (e.g., accessibility, retention, UDL).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Identify key stakeholder groups (faculty, students, IT, DS, advising, tutoring, leadership).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Clarify roles &amp; responsibilities for implementation (project owner, champions, support contacts).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Define “success” and identify key metrics (usage, engagement, course penetration, outcomes).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Develop a simple 90-day launch plan or timeline.</w:t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u5tcl93k4lsv" w:id="3"/>
      <w:bookmarkEnd w:id="3"/>
      <w:r w:rsidDel="00000000" w:rsidR="00000000" w:rsidRPr="00000000">
        <w:rPr>
          <w:rtl w:val="0"/>
        </w:rPr>
        <w:t xml:space="preserve">Campus Alignment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Conduct pre-launch alignment meetings with core departments.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Secure leadership buy-in and/or messaging support.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Ensure workflows are mapped (how faculty/students access the tool, training, support path).</w:t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tetx776sjglh" w:id="4"/>
      <w:bookmarkEnd w:id="4"/>
      <w:r w:rsidDel="00000000" w:rsidR="00000000" w:rsidRPr="00000000">
        <w:rPr>
          <w:rtl w:val="0"/>
        </w:rPr>
        <w:t xml:space="preserve">2. Awareness &amp; Communication Strategy</w:t>
      </w:r>
    </w:p>
    <w:p w:rsidR="00000000" w:rsidDel="00000000" w:rsidP="00000000" w:rsidRDefault="00000000" w:rsidRPr="00000000" w14:paraId="00000010">
      <w:pPr>
        <w:spacing w:after="240" w:before="24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Ensure people know </w:t>
      </w:r>
      <w:r w:rsidDel="00000000" w:rsidR="00000000" w:rsidRPr="00000000">
        <w:rPr>
          <w:rFonts w:ascii="Figtree" w:cs="Figtree" w:eastAsia="Figtree" w:hAnsi="Figtree"/>
          <w:i w:val="1"/>
          <w:iCs w:val="1"/>
          <w:rtl w:val="0"/>
        </w:rPr>
        <w:t xml:space="preserve">what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the tool is, </w:t>
      </w:r>
      <w:r w:rsidDel="00000000" w:rsidR="00000000" w:rsidRPr="00000000">
        <w:rPr>
          <w:rFonts w:ascii="Figtree" w:cs="Figtree" w:eastAsia="Figtree" w:hAnsi="Figtree"/>
          <w:i w:val="1"/>
          <w:iCs w:val="1"/>
          <w:rtl w:val="0"/>
        </w:rPr>
        <w:t xml:space="preserve">why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it matters, and </w:t>
      </w:r>
      <w:r w:rsidDel="00000000" w:rsidR="00000000" w:rsidRPr="00000000">
        <w:rPr>
          <w:rFonts w:ascii="Figtree" w:cs="Figtree" w:eastAsia="Figtree" w:hAnsi="Figtree"/>
          <w:i w:val="1"/>
          <w:iCs w:val="1"/>
          <w:rtl w:val="0"/>
        </w:rPr>
        <w:t xml:space="preserve">how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to use it.</w:t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st80ka1fjp7k" w:id="5"/>
      <w:bookmarkEnd w:id="5"/>
      <w:r w:rsidDel="00000000" w:rsidR="00000000" w:rsidRPr="00000000">
        <w:rPr>
          <w:rtl w:val="0"/>
        </w:rPr>
        <w:t xml:space="preserve">Messaging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Craft audience-specific value propositions (faculty, students, DS, support staff).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Connect the tool to widely understood campus needs (accessibility, accommodations, student support, inclusive teaching).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Create or obtain clear “how to get started” instructions for each audience.</w:t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t41bqx3sfb84" w:id="6"/>
      <w:bookmarkEnd w:id="6"/>
      <w:r w:rsidDel="00000000" w:rsidR="00000000" w:rsidRPr="00000000">
        <w:rPr>
          <w:rtl w:val="0"/>
        </w:rPr>
        <w:t xml:space="preserve">Communication Channels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00" w:before="20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Email announcements (multi-part sequence).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00" w:before="20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LMS announcements or banners.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00" w:before="20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Department meeting visits or presentations.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00" w:before="20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Implementation microsite or resource hub.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00" w:before="20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Student-facing campaigns (orientation, First-Year Experience, tutoring centers, ambassadors).</w:t>
      </w:r>
    </w:p>
    <w:p w:rsidR="00000000" w:rsidDel="00000000" w:rsidP="00000000" w:rsidRDefault="00000000" w:rsidRPr="00000000" w14:paraId="0000001B">
      <w:pPr>
        <w:pStyle w:val="Heading2"/>
        <w:ind w:left="-283.46456692913375" w:firstLine="0"/>
        <w:rPr/>
      </w:pPr>
      <w:bookmarkStart w:colFirst="0" w:colLast="0" w:name="_dkbaujloteqo" w:id="7"/>
      <w:bookmarkEnd w:id="7"/>
      <w:r w:rsidDel="00000000" w:rsidR="00000000" w:rsidRPr="00000000">
        <w:rPr>
          <w:rtl w:val="0"/>
        </w:rPr>
        <w:t xml:space="preserve">3. Training &amp; Capacity Building</w:t>
      </w:r>
    </w:p>
    <w:p w:rsidR="00000000" w:rsidDel="00000000" w:rsidP="00000000" w:rsidRDefault="00000000" w:rsidRPr="00000000" w14:paraId="0000001C">
      <w:pPr>
        <w:spacing w:after="240" w:before="24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Empower people to feel confident and supported.</w:t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z2xtp6xseskr" w:id="8"/>
      <w:bookmarkEnd w:id="8"/>
      <w:r w:rsidDel="00000000" w:rsidR="00000000" w:rsidRPr="00000000">
        <w:rPr>
          <w:rtl w:val="0"/>
        </w:rPr>
        <w:t xml:space="preserve">Faculty / Staff Development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00" w:before="24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Offer multiple training options (live workshops, asynchronous videos, office hours).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Integrate training into existing PD events (CTL workshops, accessibility week, orientation).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Develop quick-reference guides and short instructional videos.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00" w:before="24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Identify and train “super users”, student/peer ambassadors or champions within departments.</w:t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xnu23bh5wco0" w:id="9"/>
      <w:bookmarkEnd w:id="9"/>
      <w:r w:rsidDel="00000000" w:rsidR="00000000" w:rsidRPr="00000000">
        <w:rPr>
          <w:rtl w:val="0"/>
        </w:rPr>
        <w:t xml:space="preserve">Student Support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240" w:before="0" w:lineRule="auto"/>
        <w:ind w:left="-283.46456692913375" w:right="-182.5984251968498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Train DS office, tutoring center, advising, student ambassadors and front-line staff.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24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Provide student-facing instructions embedded where they naturally are (LMS, library, orientation).</w:t>
      </w:r>
    </w:p>
    <w:p w:rsidR="00000000" w:rsidDel="00000000" w:rsidP="00000000" w:rsidRDefault="00000000" w:rsidRPr="00000000" w14:paraId="00000025">
      <w:pPr>
        <w:pStyle w:val="Heading2"/>
        <w:ind w:left="-283.46456692913375" w:firstLine="0"/>
        <w:rPr/>
      </w:pPr>
      <w:bookmarkStart w:colFirst="0" w:colLast="0" w:name="_tbqrpi19992q" w:id="10"/>
      <w:bookmarkEnd w:id="10"/>
      <w:r w:rsidDel="00000000" w:rsidR="00000000" w:rsidRPr="00000000">
        <w:rPr>
          <w:rtl w:val="0"/>
        </w:rPr>
        <w:t xml:space="preserve">4. Launch Execution</w:t>
      </w:r>
    </w:p>
    <w:p w:rsidR="00000000" w:rsidDel="00000000" w:rsidP="00000000" w:rsidRDefault="00000000" w:rsidRPr="00000000" w14:paraId="00000026">
      <w:pPr>
        <w:spacing w:after="240" w:before="24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Roll out the tool smoothly with clear guidance and strong visibility.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Send launch communications and reminders on schedule.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Update LMS / SIS / websites with instructions and quick links.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Host kickoff sessions or awareness events.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Provide hands-on opportunities (demo booths, webinars, “pop-up help” sessions).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Ensure support channels (IT tickets, email alias, vendor support) are set up and clear.</w:t>
      </w:r>
    </w:p>
    <w:p w:rsidR="00000000" w:rsidDel="00000000" w:rsidP="00000000" w:rsidRDefault="00000000" w:rsidRPr="00000000" w14:paraId="0000002C">
      <w:pPr>
        <w:pStyle w:val="Heading2"/>
        <w:ind w:left="-283.46456692913375" w:firstLine="0"/>
        <w:rPr/>
      </w:pPr>
      <w:bookmarkStart w:colFirst="0" w:colLast="0" w:name="_g9gjdn6qxxlt" w:id="11"/>
      <w:bookmarkEnd w:id="11"/>
      <w:r w:rsidDel="00000000" w:rsidR="00000000" w:rsidRPr="00000000">
        <w:rPr>
          <w:rtl w:val="0"/>
        </w:rPr>
        <w:t xml:space="preserve"> 5. Engagement Monitoring &amp; Data Tracking</w:t>
      </w:r>
    </w:p>
    <w:p w:rsidR="00000000" w:rsidDel="00000000" w:rsidP="00000000" w:rsidRDefault="00000000" w:rsidRPr="00000000" w14:paraId="0000002D">
      <w:pPr>
        <w:spacing w:after="240" w:before="24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Understand what is working and what needs attention.</w:t>
      </w:r>
    </w:p>
    <w:p w:rsidR="00000000" w:rsidDel="00000000" w:rsidP="00000000" w:rsidRDefault="00000000" w:rsidRPr="00000000" w14:paraId="0000002E">
      <w:pPr>
        <w:pStyle w:val="Heading3"/>
        <w:rPr/>
      </w:pPr>
      <w:bookmarkStart w:colFirst="0" w:colLast="0" w:name="_28b6t69ish2y" w:id="12"/>
      <w:bookmarkEnd w:id="12"/>
      <w:r w:rsidDel="00000000" w:rsidR="00000000" w:rsidRPr="00000000">
        <w:rPr>
          <w:rtl w:val="0"/>
        </w:rPr>
        <w:t xml:space="preserve">Metrics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Track key usage indicators (logins, feature adoption, course penetration, uploads/usage patterns).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Compare activity across departments or student populations.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Identify high-usage champions and low-engagement areas.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Monitor accessibility/equity trends.</w:t>
      </w:r>
    </w:p>
    <w:p w:rsidR="00000000" w:rsidDel="00000000" w:rsidP="00000000" w:rsidRDefault="00000000" w:rsidRPr="00000000" w14:paraId="00000033">
      <w:pPr>
        <w:pStyle w:val="Heading3"/>
        <w:rPr/>
      </w:pPr>
      <w:bookmarkStart w:colFirst="0" w:colLast="0" w:name="_llcynqhubkxx" w:id="13"/>
      <w:bookmarkEnd w:id="13"/>
      <w:r w:rsidDel="00000000" w:rsidR="00000000" w:rsidRPr="00000000">
        <w:rPr>
          <w:rtl w:val="0"/>
        </w:rPr>
        <w:t xml:space="preserve">Feedback Loops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00" w:before="24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Collect qualitative feedback (faculty surveys, student focus groups, DS insights).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Schedule quarterly data reviews with internal teams and the vendor.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00" w:before="24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Use data to refine messaging, training, and outreach.</w:t>
      </w:r>
    </w:p>
    <w:p w:rsidR="00000000" w:rsidDel="00000000" w:rsidP="00000000" w:rsidRDefault="00000000" w:rsidRPr="00000000" w14:paraId="00000037">
      <w:pPr>
        <w:pStyle w:val="Heading2"/>
        <w:ind w:left="-283.46456692913375" w:firstLine="0"/>
        <w:rPr/>
      </w:pPr>
      <w:bookmarkStart w:colFirst="0" w:colLast="0" w:name="_j9hijej289kx" w:id="14"/>
      <w:bookmarkEnd w:id="14"/>
      <w:r w:rsidDel="00000000" w:rsidR="00000000" w:rsidRPr="00000000">
        <w:rPr>
          <w:rtl w:val="0"/>
        </w:rPr>
        <w:t xml:space="preserve"> 6. Sustainment &amp; Long-Term Integration</w:t>
      </w:r>
    </w:p>
    <w:p w:rsidR="00000000" w:rsidDel="00000000" w:rsidP="00000000" w:rsidRDefault="00000000" w:rsidRPr="00000000" w14:paraId="00000038">
      <w:pPr>
        <w:spacing w:after="240" w:before="24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Transition from “new tool” to routine campus workflow.</w:t>
      </w:r>
    </w:p>
    <w:p w:rsidR="00000000" w:rsidDel="00000000" w:rsidP="00000000" w:rsidRDefault="00000000" w:rsidRPr="00000000" w14:paraId="00000039">
      <w:pPr>
        <w:pStyle w:val="Heading3"/>
        <w:rPr/>
      </w:pPr>
      <w:bookmarkStart w:colFirst="0" w:colLast="0" w:name="_y6a099k6n8z5" w:id="15"/>
      <w:bookmarkEnd w:id="15"/>
      <w:r w:rsidDel="00000000" w:rsidR="00000000" w:rsidRPr="00000000">
        <w:rPr>
          <w:rtl w:val="0"/>
        </w:rPr>
        <w:t xml:space="preserve">Ongoing Actions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Create repeating campaigns at key academic moments (start of term, midterms, finals).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Embed reminders into annual processes (syllabus reviews, faculty onboarding, accessibility checklists).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Refresh and re-share training materials yearly.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Maintain champions network with ongoing updates and recognition.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Celebrate success stories and share impact data with leadership and campus partners.</w:t>
      </w:r>
    </w:p>
    <w:p w:rsidR="00000000" w:rsidDel="00000000" w:rsidP="00000000" w:rsidRDefault="00000000" w:rsidRPr="00000000" w14:paraId="0000003F">
      <w:pPr>
        <w:pStyle w:val="Heading3"/>
        <w:rPr/>
      </w:pPr>
      <w:bookmarkStart w:colFirst="0" w:colLast="0" w:name="_pxqukskjauhb" w:id="16"/>
      <w:bookmarkEnd w:id="16"/>
      <w:r w:rsidDel="00000000" w:rsidR="00000000" w:rsidRPr="00000000">
        <w:rPr>
          <w:rtl w:val="0"/>
        </w:rPr>
        <w:t xml:space="preserve">Continuous Improvement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Revisit implementation goals annually.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Adjust strategy based on usage patterns and outcomes.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200" w:before="0" w:lineRule="auto"/>
        <w:ind w:left="-283.46456692913375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Build the tool into policy and practice to ensure consistency over time.</w:t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center"/>
      <w:rPr>
        <w:rFonts w:ascii="Figtree" w:cs="Figtree" w:eastAsia="Figtree" w:hAnsi="Figtree"/>
        <w:i w:val="1"/>
        <w:iCs w:val="1"/>
        <w:sz w:val="16"/>
        <w:szCs w:val="16"/>
      </w:rPr>
    </w:pPr>
    <w:r w:rsidDel="00000000" w:rsidR="00000000" w:rsidRPr="00000000">
      <w:rPr>
        <w:rFonts w:ascii="Figtree" w:cs="Figtree" w:eastAsia="Figtree" w:hAnsi="Figtree"/>
        <w:i w:val="1"/>
        <w:iCs w:val="1"/>
        <w:sz w:val="16"/>
        <w:szCs w:val="16"/>
        <w:rtl w:val="0"/>
      </w:rPr>
      <w:t xml:space="preserve">AHG 2025 - Beyond Adoption: Strategies to Scale EdTech Impact and Drive Campus-wide Engagement</w:t>
    </w:r>
  </w:p>
  <w:p w:rsidR="00000000" w:rsidDel="00000000" w:rsidP="00000000" w:rsidRDefault="00000000" w:rsidRPr="00000000" w14:paraId="00000044">
    <w:pPr>
      <w:jc w:val="center"/>
      <w:rPr/>
    </w:pPr>
    <w:r w:rsidDel="00000000" w:rsidR="00000000" w:rsidRPr="00000000">
      <w:rPr>
        <w:rFonts w:ascii="Figtree" w:cs="Figtree" w:eastAsia="Figtree" w:hAnsi="Figtree"/>
        <w:i w:val="1"/>
        <w:iCs w:val="1"/>
        <w:sz w:val="16"/>
        <w:szCs w:val="16"/>
        <w:rtl w:val="0"/>
      </w:rPr>
      <w:t xml:space="preserve">Rachel Kruzel, ATP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center"/>
    </w:pPr>
    <w:rPr>
      <w:rFonts w:ascii="Figtree SemiBold" w:cs="Figtree SemiBold" w:eastAsia="Figtree SemiBold" w:hAnsi="Figtree SemiBold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-283.46456692913375" w:firstLine="0"/>
    </w:pPr>
    <w:rPr>
      <w:rFonts w:ascii="Figtree SemiBold" w:cs="Figtree SemiBold" w:eastAsia="Figtree SemiBold" w:hAnsi="Figtree SemiBol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-283.46456692913375" w:firstLine="0"/>
    </w:pPr>
    <w:rPr>
      <w:rFonts w:ascii="Figtree SemiBold" w:cs="Figtree SemiBold" w:eastAsia="Figtree SemiBold" w:hAnsi="Figtree SemiBold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FigtreeSemiBold-regular.ttf"/><Relationship Id="rId6" Type="http://schemas.openxmlformats.org/officeDocument/2006/relationships/font" Target="fonts/FigtreeSemiBold-bold.ttf"/><Relationship Id="rId7" Type="http://schemas.openxmlformats.org/officeDocument/2006/relationships/font" Target="fonts/FigtreeSemiBold-italic.ttf"/><Relationship Id="rId8" Type="http://schemas.openxmlformats.org/officeDocument/2006/relationships/font" Target="fonts/Figtree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