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8C6EC" w14:textId="77777777" w:rsidR="00E232EB" w:rsidRDefault="00E232EB" w:rsidP="00E232EB">
      <w:pPr>
        <w:pStyle w:val="Title"/>
      </w:pPr>
      <w:r>
        <w:t>U.S. Law and Web Accessibility</w:t>
      </w:r>
    </w:p>
    <w:p w14:paraId="637EAEE3" w14:textId="77777777" w:rsidR="00E232EB" w:rsidRDefault="00E232EB" w:rsidP="00605C0D">
      <w:pPr>
        <w:pStyle w:val="Heading2"/>
      </w:pPr>
    </w:p>
    <w:p w14:paraId="5CFD2ED6" w14:textId="64747A24" w:rsidR="0092273F" w:rsidRDefault="0092273F" w:rsidP="00605C0D">
      <w:pPr>
        <w:pStyle w:val="Heading2"/>
      </w:pPr>
      <w:r>
        <w:t>Slide 4 (Number of ADA Lawsuits)</w:t>
      </w:r>
    </w:p>
    <w:p w14:paraId="712F86AC" w14:textId="2A8266D0" w:rsidR="0092273F" w:rsidRPr="0092273F" w:rsidRDefault="0092273F" w:rsidP="0092273F">
      <w:pPr>
        <w:pStyle w:val="ListParagraph"/>
        <w:numPr>
          <w:ilvl w:val="0"/>
          <w:numId w:val="11"/>
        </w:numPr>
      </w:pPr>
      <w:r>
        <w:t>Jason Taylor’s blog (</w:t>
      </w:r>
      <w:hyperlink r:id="rId8" w:history="1">
        <w:r w:rsidRPr="004004A7">
          <w:rPr>
            <w:rStyle w:val="Hyperlink"/>
          </w:rPr>
          <w:t>https://blog.usablenet.com/author/jason-taylor</w:t>
        </w:r>
      </w:hyperlink>
      <w:r>
        <w:t xml:space="preserve">) </w:t>
      </w:r>
    </w:p>
    <w:p w14:paraId="76D7EDE7" w14:textId="32701EAC" w:rsidR="00A462C1" w:rsidRDefault="00A462C1" w:rsidP="00605C0D">
      <w:pPr>
        <w:pStyle w:val="Heading2"/>
      </w:pPr>
      <w:r>
        <w:t>Slide</w:t>
      </w:r>
      <w:r w:rsidR="00B06225">
        <w:t xml:space="preserve"> </w:t>
      </w:r>
      <w:r w:rsidR="0092273F">
        <w:t>8</w:t>
      </w:r>
      <w:r w:rsidR="001B6A0D">
        <w:t xml:space="preserve"> (ADA Title II Cases)</w:t>
      </w:r>
    </w:p>
    <w:p w14:paraId="757696AD" w14:textId="338A7561" w:rsidR="0092273F" w:rsidRDefault="0092273F" w:rsidP="00F651E9">
      <w:pPr>
        <w:pStyle w:val="ListParagraph"/>
        <w:numPr>
          <w:ilvl w:val="0"/>
          <w:numId w:val="3"/>
        </w:numPr>
      </w:pPr>
      <w:r>
        <w:t>ADA Text (</w:t>
      </w:r>
      <w:hyperlink r:id="rId9" w:history="1">
        <w:r w:rsidRPr="004004A7">
          <w:rPr>
            <w:rStyle w:val="Hyperlink"/>
          </w:rPr>
          <w:t>https://www.ada.gov/pubs/adastatute08.htm</w:t>
        </w:r>
      </w:hyperlink>
      <w:r>
        <w:t xml:space="preserve">) </w:t>
      </w:r>
    </w:p>
    <w:p w14:paraId="698277E8" w14:textId="7B4AB03E" w:rsidR="0092273F" w:rsidRDefault="0092273F" w:rsidP="0092273F">
      <w:pPr>
        <w:pStyle w:val="ListParagraph"/>
        <w:numPr>
          <w:ilvl w:val="0"/>
          <w:numId w:val="3"/>
        </w:numPr>
      </w:pPr>
      <w:r>
        <w:t>ADA Title II Regulation (</w:t>
      </w:r>
      <w:hyperlink r:id="rId10" w:history="1">
        <w:r w:rsidRPr="004004A7">
          <w:rPr>
            <w:rStyle w:val="Hyperlink"/>
          </w:rPr>
          <w:t>https://www.ada.gov/regs2010/titleII_2010/titleII_2010_regulations.htm</w:t>
        </w:r>
      </w:hyperlink>
      <w:r>
        <w:t xml:space="preserve">) </w:t>
      </w:r>
    </w:p>
    <w:p w14:paraId="7B5834F4" w14:textId="4C446941" w:rsidR="0092273F" w:rsidRPr="0092273F" w:rsidRDefault="0092273F" w:rsidP="0092273F">
      <w:pPr>
        <w:pStyle w:val="ListParagraph"/>
        <w:numPr>
          <w:ilvl w:val="0"/>
          <w:numId w:val="3"/>
        </w:numPr>
      </w:pPr>
      <w:r>
        <w:t>Section 504 (</w:t>
      </w:r>
      <w:hyperlink r:id="rId11" w:history="1">
        <w:r w:rsidRPr="004004A7">
          <w:rPr>
            <w:rStyle w:val="Hyperlink"/>
          </w:rPr>
          <w:t>https://www.law.cornell.edu/uscode/text/29/794</w:t>
        </w:r>
      </w:hyperlink>
      <w:r>
        <w:t xml:space="preserve">) </w:t>
      </w:r>
    </w:p>
    <w:p w14:paraId="7C642149" w14:textId="0C6A9DCE" w:rsidR="00F651E9" w:rsidRDefault="00A462C1" w:rsidP="00F651E9">
      <w:pPr>
        <w:pStyle w:val="ListParagraph"/>
        <w:numPr>
          <w:ilvl w:val="0"/>
          <w:numId w:val="3"/>
        </w:numPr>
      </w:pPr>
      <w:r w:rsidRPr="00F651E9">
        <w:rPr>
          <w:i/>
          <w:iCs/>
        </w:rPr>
        <w:t>Martin v. Metro Atlanta Rapid Transit Auth.,</w:t>
      </w:r>
      <w:r w:rsidRPr="00A462C1">
        <w:t xml:space="preserve"> 225 F. Supp. 2d 1362 (N.D. Ga. 2002)</w:t>
      </w:r>
    </w:p>
    <w:p w14:paraId="7134B070" w14:textId="258A1526" w:rsidR="0092273F" w:rsidRDefault="0092273F" w:rsidP="0092273F">
      <w:pPr>
        <w:pStyle w:val="Heading2"/>
      </w:pPr>
      <w:r>
        <w:t>Slide 10 (ADA Title III)</w:t>
      </w:r>
    </w:p>
    <w:p w14:paraId="2A2530A9" w14:textId="77777777" w:rsidR="0092273F" w:rsidRDefault="0092273F" w:rsidP="0092273F">
      <w:pPr>
        <w:pStyle w:val="ListParagraph"/>
        <w:numPr>
          <w:ilvl w:val="0"/>
          <w:numId w:val="12"/>
        </w:numPr>
      </w:pPr>
      <w:r>
        <w:t>ADA Text (</w:t>
      </w:r>
      <w:hyperlink r:id="rId12" w:history="1">
        <w:r w:rsidRPr="004004A7">
          <w:rPr>
            <w:rStyle w:val="Hyperlink"/>
          </w:rPr>
          <w:t>https://www.ada.gov/pubs/adastatute08.htm</w:t>
        </w:r>
      </w:hyperlink>
      <w:r>
        <w:t xml:space="preserve">) </w:t>
      </w:r>
    </w:p>
    <w:p w14:paraId="3D5A0F9C" w14:textId="62FEE7A7" w:rsidR="0092273F" w:rsidRDefault="0092273F" w:rsidP="0092273F">
      <w:pPr>
        <w:pStyle w:val="ListParagraph"/>
        <w:numPr>
          <w:ilvl w:val="0"/>
          <w:numId w:val="12"/>
        </w:numPr>
      </w:pPr>
      <w:r>
        <w:t>ADA Title III Regulation (</w:t>
      </w:r>
      <w:hyperlink r:id="rId13" w:history="1">
        <w:r w:rsidRPr="004004A7">
          <w:rPr>
            <w:rStyle w:val="Hyperlink"/>
          </w:rPr>
          <w:t>https://www.ada.gov/regs2010/titleIII_2010/titleIII_2010_regulations.htm</w:t>
        </w:r>
      </w:hyperlink>
      <w:r>
        <w:t xml:space="preserve">)  </w:t>
      </w:r>
    </w:p>
    <w:p w14:paraId="6809EE59" w14:textId="29E20FB7" w:rsidR="0092273F" w:rsidRDefault="0092273F" w:rsidP="0092273F">
      <w:pPr>
        <w:pStyle w:val="Heading2"/>
      </w:pPr>
      <w:r>
        <w:t>Slide 14 (Nexus Approach)</w:t>
      </w:r>
    </w:p>
    <w:p w14:paraId="6081BBF1" w14:textId="3A011CFA" w:rsidR="0092273F" w:rsidRDefault="0092273F" w:rsidP="0092273F">
      <w:pPr>
        <w:pStyle w:val="ListParagraph"/>
        <w:numPr>
          <w:ilvl w:val="0"/>
          <w:numId w:val="13"/>
        </w:numPr>
      </w:pPr>
      <w:r>
        <w:t xml:space="preserve">Gil v. Winn-Dixie Stores, Inc., </w:t>
      </w:r>
      <w:r w:rsidR="00300440">
        <w:t xml:space="preserve">257 F. Supp. 3d 1340 (S.D. Fla. 2017)(ruling against Winn-Dixie using traditional nexus test), </w:t>
      </w:r>
      <w:r w:rsidR="00300440">
        <w:rPr>
          <w:i/>
          <w:iCs/>
        </w:rPr>
        <w:t xml:space="preserve">rev’d by, </w:t>
      </w:r>
      <w:r>
        <w:t>993 F.3d 1266 (11</w:t>
      </w:r>
      <w:r w:rsidRPr="0092273F">
        <w:rPr>
          <w:vertAlign w:val="superscript"/>
        </w:rPr>
        <w:t>th</w:t>
      </w:r>
      <w:r>
        <w:t xml:space="preserve"> Cir. 2021)(narrowing nexus standard), </w:t>
      </w:r>
      <w:r w:rsidRPr="0092273F">
        <w:rPr>
          <w:i/>
          <w:iCs/>
        </w:rPr>
        <w:t>vacated by</w:t>
      </w:r>
      <w:r>
        <w:t xml:space="preserve"> 21 F.4th 775 (11</w:t>
      </w:r>
      <w:r w:rsidRPr="0092273F">
        <w:rPr>
          <w:vertAlign w:val="superscript"/>
        </w:rPr>
        <w:t>th</w:t>
      </w:r>
      <w:r>
        <w:t xml:space="preserve"> Cir. 2021)(vacating earlier opinion on mootness and restoring traditional nexus-like approach).</w:t>
      </w:r>
    </w:p>
    <w:p w14:paraId="57C16BE0" w14:textId="3E399D51" w:rsidR="00300440" w:rsidRDefault="00B55DA1" w:rsidP="0092273F">
      <w:pPr>
        <w:pStyle w:val="ListParagraph"/>
        <w:numPr>
          <w:ilvl w:val="0"/>
          <w:numId w:val="13"/>
        </w:numPr>
      </w:pPr>
      <w:r w:rsidRPr="00B55DA1">
        <w:rPr>
          <w:i/>
          <w:iCs/>
        </w:rPr>
        <w:t>Ariza v. S. Moon Sales, Inc</w:t>
      </w:r>
      <w:r w:rsidRPr="00B55DA1">
        <w:t>., 2022 U.S. Dist. LEXIS 144467 (S.D. Fla. 2022)</w:t>
      </w:r>
      <w:r>
        <w:t>(magistrate judge following traditional nexus test post-Winn-Dixie)</w:t>
      </w:r>
    </w:p>
    <w:p w14:paraId="058C9EEC" w14:textId="057CEC4C" w:rsidR="00B55DA1" w:rsidRDefault="00B55DA1" w:rsidP="0092273F">
      <w:pPr>
        <w:pStyle w:val="ListParagraph"/>
        <w:numPr>
          <w:ilvl w:val="0"/>
          <w:numId w:val="13"/>
        </w:numPr>
      </w:pPr>
      <w:r w:rsidRPr="00B55DA1">
        <w:rPr>
          <w:i/>
          <w:iCs/>
        </w:rPr>
        <w:t>Ariza v. Broward Design Center, Inc.</w:t>
      </w:r>
      <w:r w:rsidRPr="00B55DA1">
        <w:t>, 2022 U.S. Dist. LEXIS 192421 (S.D. Fla. 2022)</w:t>
      </w:r>
      <w:r>
        <w:t xml:space="preserve">(judge considering weight of Winn-Dixie </w:t>
      </w:r>
      <w:r w:rsidR="00B10346">
        <w:t>yet</w:t>
      </w:r>
      <w:r>
        <w:t xml:space="preserve"> opting to </w:t>
      </w:r>
      <w:r w:rsidR="00FD472C">
        <w:t>deny dismissing plaintiff’s complaint</w:t>
      </w:r>
      <w:r w:rsidR="00B10346">
        <w:t xml:space="preserve"> where it </w:t>
      </w:r>
      <w:r w:rsidR="00263CB9">
        <w:t>includes conclusory assertions connecting website to a physical establishment</w:t>
      </w:r>
      <w:r w:rsidR="00FD472C">
        <w:t>)</w:t>
      </w:r>
      <w:r w:rsidR="00B10346">
        <w:t>.</w:t>
      </w:r>
    </w:p>
    <w:p w14:paraId="14F4E2F1" w14:textId="5196F5FE" w:rsidR="00003705" w:rsidRDefault="00003705" w:rsidP="0092273F">
      <w:pPr>
        <w:pStyle w:val="ListParagraph"/>
        <w:numPr>
          <w:ilvl w:val="0"/>
          <w:numId w:val="13"/>
        </w:numPr>
      </w:pPr>
      <w:r w:rsidRPr="00003705">
        <w:rPr>
          <w:i/>
          <w:iCs/>
        </w:rPr>
        <w:t>Ariza v. Coffee Beanery, Ltd</w:t>
      </w:r>
      <w:r w:rsidRPr="00003705">
        <w:t>., 2022 U.S. Dist. LEXIS 217917 (S.D. Fla. 2022)</w:t>
      </w:r>
      <w:r>
        <w:t>(franchisors can be liable for websites used by franchisees).</w:t>
      </w:r>
    </w:p>
    <w:p w14:paraId="65D7AAC7" w14:textId="541DE0CC" w:rsidR="0092273F" w:rsidRDefault="0092273F" w:rsidP="0092273F">
      <w:pPr>
        <w:pStyle w:val="Heading2"/>
      </w:pPr>
      <w:r>
        <w:t>Slide 15 (</w:t>
      </w:r>
      <w:r w:rsidR="0C3CC071">
        <w:t>Splits within Second and Third Circuits</w:t>
      </w:r>
      <w:r>
        <w:t>)</w:t>
      </w:r>
    </w:p>
    <w:p w14:paraId="564D9A98" w14:textId="68CFD5EF" w:rsidR="07AC6F3C" w:rsidRDefault="009967AD" w:rsidP="07AC6F3C">
      <w:pPr>
        <w:pStyle w:val="ListParagraph"/>
        <w:numPr>
          <w:ilvl w:val="0"/>
          <w:numId w:val="13"/>
        </w:numPr>
      </w:pPr>
      <w:r w:rsidRPr="009967AD">
        <w:rPr>
          <w:i/>
          <w:iCs/>
        </w:rPr>
        <w:t>Chalas v. Barlean's Organic Oils, LLC</w:t>
      </w:r>
      <w:r w:rsidRPr="009967AD">
        <w:t>, 2022 U.S. Dist. LEXIS 211816 (S.D.N.Y. 2022)</w:t>
      </w:r>
      <w:r w:rsidR="004B49DB">
        <w:t>(concluding that Second Circuit</w:t>
      </w:r>
      <w:r w:rsidR="008B5E09">
        <w:t xml:space="preserve"> </w:t>
      </w:r>
      <w:r w:rsidR="008C09F2">
        <w:t>“</w:t>
      </w:r>
      <w:r w:rsidR="008C09F2" w:rsidRPr="008C09F2">
        <w:t xml:space="preserve">would come  down on the side of the First and Seventh Circuits, and conclude that a website can be a </w:t>
      </w:r>
      <w:r w:rsidR="008C09F2">
        <w:t>‘</w:t>
      </w:r>
      <w:r w:rsidR="008C09F2" w:rsidRPr="008C09F2">
        <w:t>place of public accommodation</w:t>
      </w:r>
      <w:r w:rsidR="008C09F2">
        <w:t>’</w:t>
      </w:r>
      <w:r w:rsidR="008C09F2" w:rsidRPr="008C09F2">
        <w:t xml:space="preserve"> within the meaning of Title III of the ADA</w:t>
      </w:r>
      <w:r w:rsidR="008C09F2">
        <w:t>)</w:t>
      </w:r>
      <w:r w:rsidR="008C09F2" w:rsidRPr="008C09F2">
        <w:t>.</w:t>
      </w:r>
    </w:p>
    <w:p w14:paraId="1F38EEFF" w14:textId="5D10B06C" w:rsidR="00F1071B" w:rsidRDefault="00F1071B" w:rsidP="07AC6F3C">
      <w:pPr>
        <w:pStyle w:val="ListParagraph"/>
        <w:numPr>
          <w:ilvl w:val="0"/>
          <w:numId w:val="13"/>
        </w:numPr>
      </w:pPr>
      <w:r w:rsidRPr="00F1071B">
        <w:rPr>
          <w:i/>
          <w:iCs/>
        </w:rPr>
        <w:t>Martinez v. Gutsy LLC</w:t>
      </w:r>
      <w:r w:rsidRPr="00F1071B">
        <w:t>, 2022 U.S. Dist. LEXIS 214830 (E.D.N.Y. 2022)</w:t>
      </w:r>
      <w:r>
        <w:t>(cracks appearing within EDNY as</w:t>
      </w:r>
      <w:r w:rsidR="0011473E">
        <w:t xml:space="preserve"> one court abandons nexus standard).</w:t>
      </w:r>
    </w:p>
    <w:p w14:paraId="42A4DB50" w14:textId="440F3D39" w:rsidR="0092273F" w:rsidRDefault="0092273F" w:rsidP="0092273F">
      <w:pPr>
        <w:pStyle w:val="ListParagraph"/>
        <w:numPr>
          <w:ilvl w:val="0"/>
          <w:numId w:val="13"/>
        </w:numPr>
      </w:pPr>
      <w:r w:rsidRPr="07AC6F3C">
        <w:rPr>
          <w:i/>
          <w:iCs/>
        </w:rPr>
        <w:t>Jaquez v. Dermpoint, Inc</w:t>
      </w:r>
      <w:r>
        <w:t>., 2021 U.S. Dist. LEXIS 96067 (S.D.N.Y. 2021)(allowing suit against purely online company)</w:t>
      </w:r>
    </w:p>
    <w:p w14:paraId="17AC94E4" w14:textId="62B7F3F8" w:rsidR="0092273F" w:rsidRDefault="0092273F" w:rsidP="0092273F">
      <w:pPr>
        <w:pStyle w:val="ListParagraph"/>
        <w:numPr>
          <w:ilvl w:val="0"/>
          <w:numId w:val="13"/>
        </w:numPr>
      </w:pPr>
      <w:r w:rsidRPr="07AC6F3C">
        <w:rPr>
          <w:i/>
          <w:iCs/>
        </w:rPr>
        <w:t>Winegard v. Newsday LLC,</w:t>
      </w:r>
      <w:r>
        <w:t xml:space="preserve"> 556 F. Supp. 3d 173 (E.D.N.Y. 2021)(severely restricting web accessibility cases)</w:t>
      </w:r>
    </w:p>
    <w:p w14:paraId="46175F9D" w14:textId="79793191" w:rsidR="0092273F" w:rsidRDefault="0092273F" w:rsidP="0092273F">
      <w:pPr>
        <w:pStyle w:val="ListParagraph"/>
        <w:numPr>
          <w:ilvl w:val="0"/>
          <w:numId w:val="13"/>
        </w:numPr>
      </w:pPr>
      <w:r w:rsidRPr="07AC6F3C">
        <w:rPr>
          <w:i/>
          <w:iCs/>
        </w:rPr>
        <w:t>Douglass v. Blendjet</w:t>
      </w:r>
      <w:r>
        <w:t>, 2022 U.S. Dist. LEXIS 171718 (W.D. Pa. 2022)(court noting split in 3</w:t>
      </w:r>
      <w:r w:rsidRPr="07AC6F3C">
        <w:rPr>
          <w:vertAlign w:val="superscript"/>
        </w:rPr>
        <w:t>rd</w:t>
      </w:r>
      <w:r>
        <w:t xml:space="preserve"> Circuit)</w:t>
      </w:r>
    </w:p>
    <w:p w14:paraId="396F72D3" w14:textId="3D4EBC8E" w:rsidR="00670FD4" w:rsidRDefault="00670FD4" w:rsidP="0092273F">
      <w:pPr>
        <w:pStyle w:val="ListParagraph"/>
        <w:numPr>
          <w:ilvl w:val="0"/>
          <w:numId w:val="13"/>
        </w:numPr>
      </w:pPr>
      <w:r w:rsidRPr="07AC6F3C">
        <w:rPr>
          <w:i/>
          <w:iCs/>
        </w:rPr>
        <w:t xml:space="preserve">See also, Tavarez v. Moo Organic Chocolates, LLC, </w:t>
      </w:r>
      <w:r>
        <w:t>2022 U.S. Dist. LEXIS 154249 (S.D.N.Y. 2022)</w:t>
      </w:r>
      <w:r w:rsidRPr="07AC6F3C">
        <w:rPr>
          <w:i/>
          <w:iCs/>
        </w:rPr>
        <w:t xml:space="preserve"> </w:t>
      </w:r>
      <w:r>
        <w:t xml:space="preserve">and </w:t>
      </w:r>
      <w:r w:rsidRPr="07AC6F3C">
        <w:rPr>
          <w:i/>
          <w:iCs/>
        </w:rPr>
        <w:t>Martinez v. Mylife.com, Inc</w:t>
      </w:r>
      <w:r>
        <w:t>., 2021 U.S. Dist. LEXIS 210585 (E.D.N.Y. 2021) (continuing split between EDNY and SDNY)</w:t>
      </w:r>
    </w:p>
    <w:p w14:paraId="48F1BDE7" w14:textId="4D477A06" w:rsidR="0092273F" w:rsidRDefault="0092273F" w:rsidP="0092273F">
      <w:pPr>
        <w:pStyle w:val="Heading2"/>
      </w:pPr>
      <w:r>
        <w:t>Slide 16 (Unruh and Disabled Persons Act)</w:t>
      </w:r>
    </w:p>
    <w:p w14:paraId="4A211517" w14:textId="0F5792B7" w:rsidR="0092273F" w:rsidRDefault="0092273F" w:rsidP="0092273F">
      <w:pPr>
        <w:pStyle w:val="ListParagraph"/>
        <w:numPr>
          <w:ilvl w:val="0"/>
          <w:numId w:val="14"/>
        </w:numPr>
      </w:pPr>
      <w:r>
        <w:t xml:space="preserve">Unruh Civil Rights Act, Cal. Civ. Code § 51, </w:t>
      </w:r>
      <w:r w:rsidRPr="0092273F">
        <w:rPr>
          <w:i/>
          <w:iCs/>
        </w:rPr>
        <w:t>available at</w:t>
      </w:r>
      <w:r>
        <w:t xml:space="preserve"> </w:t>
      </w:r>
      <w:hyperlink r:id="rId14" w:history="1">
        <w:r w:rsidRPr="004004A7">
          <w:rPr>
            <w:rStyle w:val="Hyperlink"/>
          </w:rPr>
          <w:t>https://leginfo.legislature.ca.gov/faces/codes.xhtml</w:t>
        </w:r>
      </w:hyperlink>
      <w:r>
        <w:t xml:space="preserve"> </w:t>
      </w:r>
    </w:p>
    <w:p w14:paraId="70241B96" w14:textId="7C23E2AD" w:rsidR="0092273F" w:rsidRPr="00B55DA1" w:rsidRDefault="0092273F" w:rsidP="0092273F">
      <w:pPr>
        <w:pStyle w:val="ListParagraph"/>
        <w:numPr>
          <w:ilvl w:val="0"/>
          <w:numId w:val="14"/>
        </w:numPr>
        <w:rPr>
          <w:rStyle w:val="Hyperlink"/>
          <w:color w:val="auto"/>
          <w:u w:val="none"/>
        </w:rPr>
      </w:pPr>
      <w:r>
        <w:t xml:space="preserve">Disabled Persons Act, Cal. Civ. Code §§ 54-55.32, </w:t>
      </w:r>
      <w:r w:rsidRPr="0092273F">
        <w:rPr>
          <w:i/>
          <w:iCs/>
        </w:rPr>
        <w:t>available at</w:t>
      </w:r>
      <w:r>
        <w:t xml:space="preserve"> </w:t>
      </w:r>
      <w:hyperlink r:id="rId15" w:history="1">
        <w:r w:rsidRPr="004004A7">
          <w:rPr>
            <w:rStyle w:val="Hyperlink"/>
          </w:rPr>
          <w:t>https://leginfo.legislature.ca.gov/faces/codes.xhtml</w:t>
        </w:r>
      </w:hyperlink>
    </w:p>
    <w:p w14:paraId="07BC07CE" w14:textId="1063FF5F" w:rsidR="00B55DA1" w:rsidRDefault="003E5A53" w:rsidP="0092273F">
      <w:pPr>
        <w:pStyle w:val="ListParagraph"/>
        <w:numPr>
          <w:ilvl w:val="0"/>
          <w:numId w:val="14"/>
        </w:numPr>
      </w:pPr>
      <w:r w:rsidRPr="003E5A53">
        <w:rPr>
          <w:i/>
          <w:iCs/>
        </w:rPr>
        <w:t>Martinez v. Cot’n Wash, Inc</w:t>
      </w:r>
      <w:r w:rsidRPr="003E5A53">
        <w:t>., 2022 Cal. App. LEXIS 673 (Cal. Ct. App. 2022)</w:t>
      </w:r>
      <w:r>
        <w:t>(Unruh claim against purely online companies requires proving intentional discrimination)</w:t>
      </w:r>
    </w:p>
    <w:p w14:paraId="474F4A71" w14:textId="375DA97E" w:rsidR="00B06225" w:rsidRDefault="00B06225" w:rsidP="0092273F">
      <w:pPr>
        <w:pStyle w:val="Heading2"/>
      </w:pPr>
      <w:r>
        <w:t>Slide 1</w:t>
      </w:r>
      <w:r w:rsidR="0092273F">
        <w:t>8</w:t>
      </w:r>
      <w:r w:rsidR="001B6A0D">
        <w:t xml:space="preserve"> (Telephone Alternative)</w:t>
      </w:r>
    </w:p>
    <w:p w14:paraId="515B338D" w14:textId="77777777" w:rsidR="00F651E9" w:rsidRDefault="00B06225" w:rsidP="00F651E9">
      <w:pPr>
        <w:pStyle w:val="ListParagraph"/>
        <w:numPr>
          <w:ilvl w:val="0"/>
          <w:numId w:val="2"/>
        </w:numPr>
      </w:pPr>
      <w:r w:rsidRPr="00F651E9">
        <w:rPr>
          <w:i/>
          <w:iCs/>
        </w:rPr>
        <w:t>Robles v. Domino’s Pizza LLC</w:t>
      </w:r>
      <w:r w:rsidRPr="00B06225">
        <w:t>, 2017 U.S. Dist. LEXIS 53133 (C.D. Cal. 2017), rev’d on other grounds, 2019 U.S. App. LEXIS 1292 (9</w:t>
      </w:r>
      <w:r w:rsidRPr="00F651E9">
        <w:rPr>
          <w:vertAlign w:val="superscript"/>
        </w:rPr>
        <w:t>th</w:t>
      </w:r>
      <w:r w:rsidRPr="00B06225">
        <w:t xml:space="preserve"> Cir. 2019)</w:t>
      </w:r>
    </w:p>
    <w:p w14:paraId="68648B8D" w14:textId="77777777" w:rsidR="00F651E9" w:rsidRDefault="00B06225" w:rsidP="00F651E9">
      <w:pPr>
        <w:pStyle w:val="ListParagraph"/>
        <w:numPr>
          <w:ilvl w:val="0"/>
          <w:numId w:val="2"/>
        </w:numPr>
      </w:pPr>
      <w:r w:rsidRPr="00F651E9">
        <w:rPr>
          <w:i/>
          <w:iCs/>
        </w:rPr>
        <w:t xml:space="preserve">Access Now v. Blue Apron, </w:t>
      </w:r>
      <w:r w:rsidRPr="00B06225">
        <w:t>2017 U.S. Dist. LEXIS 185112 (D.N.H. 2017)</w:t>
      </w:r>
    </w:p>
    <w:p w14:paraId="10783AEE" w14:textId="5337ABDD" w:rsidR="00F651E9" w:rsidRDefault="00B06225" w:rsidP="00F651E9">
      <w:pPr>
        <w:pStyle w:val="ListParagraph"/>
        <w:numPr>
          <w:ilvl w:val="0"/>
          <w:numId w:val="2"/>
        </w:numPr>
      </w:pPr>
      <w:r w:rsidRPr="00F651E9">
        <w:rPr>
          <w:i/>
          <w:iCs/>
        </w:rPr>
        <w:t>Gorecki v. Dave &amp; Buster’s, Inc.,</w:t>
      </w:r>
      <w:r w:rsidRPr="00B06225">
        <w:t xml:space="preserve"> 2017 U.S. Dist. LEXIS 187208 (C.D. Cal. 2017)</w:t>
      </w:r>
    </w:p>
    <w:p w14:paraId="3F5D985B" w14:textId="01747C6A" w:rsidR="00B06225" w:rsidRDefault="00B06225" w:rsidP="00F651E9">
      <w:pPr>
        <w:pStyle w:val="ListParagraph"/>
        <w:numPr>
          <w:ilvl w:val="0"/>
          <w:numId w:val="2"/>
        </w:numPr>
      </w:pPr>
      <w:r w:rsidRPr="00F651E9">
        <w:rPr>
          <w:i/>
          <w:iCs/>
        </w:rPr>
        <w:t>Thurston v. Midvale Corp.,</w:t>
      </w:r>
      <w:r w:rsidRPr="00B06225">
        <w:t xml:space="preserve"> (Cal. Super Ct. 2018) </w:t>
      </w:r>
      <w:r w:rsidRPr="00F651E9">
        <w:t>aff’d by 39 Cal. App. 5th 634, 650-51 (Cal. Ct. App. 2019).</w:t>
      </w:r>
    </w:p>
    <w:p w14:paraId="6CD5A4C1" w14:textId="7CB81FEA" w:rsidR="0092273F" w:rsidRDefault="0092273F" w:rsidP="00F651E9">
      <w:pPr>
        <w:pStyle w:val="ListParagraph"/>
        <w:numPr>
          <w:ilvl w:val="0"/>
          <w:numId w:val="2"/>
        </w:numPr>
      </w:pPr>
      <w:r w:rsidRPr="00F651E9">
        <w:rPr>
          <w:i/>
          <w:iCs/>
        </w:rPr>
        <w:t>Robles v. Domino’s Pizza LLC</w:t>
      </w:r>
      <w:r w:rsidRPr="00B06225">
        <w:t>,</w:t>
      </w:r>
      <w:r>
        <w:t xml:space="preserve"> </w:t>
      </w:r>
      <w:r w:rsidRPr="0092273F">
        <w:t>2021 U.S. Dist. LEXIS 124356</w:t>
      </w:r>
      <w:r>
        <w:t xml:space="preserve"> at *18 (C.D. Cal 2021)(expecting disabled customer to wait 45 minutes to order a pizza is not effective communication).</w:t>
      </w:r>
    </w:p>
    <w:p w14:paraId="660BD31E" w14:textId="3160238D" w:rsidR="0092273F" w:rsidRPr="0092273F" w:rsidRDefault="0092273F" w:rsidP="0092273F">
      <w:pPr>
        <w:pStyle w:val="Heading2"/>
      </w:pPr>
      <w:r>
        <w:t>Slide 19 (No Possession, Ownership, or Control)</w:t>
      </w:r>
    </w:p>
    <w:p w14:paraId="6EAF159D" w14:textId="77777777" w:rsidR="0092273F" w:rsidRPr="00A462C1" w:rsidRDefault="0092273F" w:rsidP="0092273F">
      <w:pPr>
        <w:pStyle w:val="ListParagraph"/>
        <w:numPr>
          <w:ilvl w:val="0"/>
          <w:numId w:val="3"/>
        </w:numPr>
      </w:pPr>
      <w:r w:rsidRPr="00F651E9">
        <w:rPr>
          <w:i/>
          <w:iCs/>
        </w:rPr>
        <w:t>Sierra v. City of Hallandale Beach</w:t>
      </w:r>
      <w:r w:rsidRPr="00A462C1">
        <w:t>, 904 F.3d 1343 (11th Cir.</w:t>
      </w:r>
      <w:r>
        <w:t xml:space="preserve"> </w:t>
      </w:r>
      <w:r w:rsidRPr="00A462C1">
        <w:t>2018)</w:t>
      </w:r>
    </w:p>
    <w:p w14:paraId="1C04C0F1" w14:textId="583CA77A" w:rsidR="0092273F" w:rsidRDefault="0092273F" w:rsidP="0092273F">
      <w:pPr>
        <w:pStyle w:val="Heading2"/>
        <w:tabs>
          <w:tab w:val="left" w:pos="1263"/>
        </w:tabs>
      </w:pPr>
      <w:r>
        <w:t>Slide 20 (Standing to Sue—Part 1)</w:t>
      </w:r>
      <w:r>
        <w:tab/>
      </w:r>
    </w:p>
    <w:p w14:paraId="7D6A8F99" w14:textId="77777777" w:rsidR="0092273F" w:rsidRPr="00B82764" w:rsidRDefault="0092273F" w:rsidP="0092273F">
      <w:pPr>
        <w:pStyle w:val="ListParagraph"/>
        <w:numPr>
          <w:ilvl w:val="0"/>
          <w:numId w:val="7"/>
        </w:numPr>
      </w:pPr>
      <w:r w:rsidRPr="00B82764">
        <w:rPr>
          <w:i/>
          <w:iCs/>
        </w:rPr>
        <w:t xml:space="preserve">Carroll v. Roanoke Valley Community Credit Union, </w:t>
      </w:r>
      <w:r w:rsidRPr="00B82764">
        <w:t>2018 U.S. Dist. LEXIS 98284 (W.D. Va. 2018)</w:t>
      </w:r>
    </w:p>
    <w:p w14:paraId="7C13EDAB" w14:textId="77777777" w:rsidR="0092273F" w:rsidRDefault="0092273F" w:rsidP="0092273F">
      <w:pPr>
        <w:pStyle w:val="ListParagraph"/>
        <w:numPr>
          <w:ilvl w:val="0"/>
          <w:numId w:val="7"/>
        </w:numPr>
      </w:pPr>
      <w:r w:rsidRPr="00B82764">
        <w:rPr>
          <w:i/>
          <w:iCs/>
        </w:rPr>
        <w:t>Mitchell v. Dover-Phila Fed. Credit Union,</w:t>
      </w:r>
      <w:r w:rsidRPr="00B82764">
        <w:t xml:space="preserve"> 2018 U.S. Dist. LEXIS 105798 (N.D. Ohio 2018).</w:t>
      </w:r>
    </w:p>
    <w:p w14:paraId="02FE3D22" w14:textId="3BB94510" w:rsidR="00AA4CA5" w:rsidRDefault="00AA4CA5" w:rsidP="0092273F">
      <w:pPr>
        <w:pStyle w:val="ListParagraph"/>
        <w:numPr>
          <w:ilvl w:val="0"/>
          <w:numId w:val="7"/>
        </w:numPr>
      </w:pPr>
      <w:r w:rsidRPr="00AA4CA5">
        <w:rPr>
          <w:i/>
          <w:iCs/>
        </w:rPr>
        <w:t>Calcano v. Swarovski</w:t>
      </w:r>
      <w:r w:rsidRPr="00AA4CA5">
        <w:t>, 36 F.4th 68, 75 (2d Cir. 2022)</w:t>
      </w:r>
      <w:r w:rsidR="00C01AAB">
        <w:t>.</w:t>
      </w:r>
    </w:p>
    <w:p w14:paraId="5C54D29D" w14:textId="6779171D" w:rsidR="00C01AAB" w:rsidRDefault="00C01AAB" w:rsidP="0092273F">
      <w:pPr>
        <w:pStyle w:val="ListParagraph"/>
        <w:numPr>
          <w:ilvl w:val="0"/>
          <w:numId w:val="7"/>
        </w:numPr>
      </w:pPr>
      <w:r w:rsidRPr="00C01AAB">
        <w:rPr>
          <w:i/>
          <w:iCs/>
        </w:rPr>
        <w:t>Loadholt v. Dungarees, Inc</w:t>
      </w:r>
      <w:r w:rsidRPr="00C01AAB">
        <w:t>, 2023 U.S. Dist. LEXIS 26006 (S.D.N.Y. 2023)</w:t>
      </w:r>
      <w:r>
        <w:t>.</w:t>
      </w:r>
    </w:p>
    <w:p w14:paraId="4F101CCA" w14:textId="0F76AE18" w:rsidR="00C01AAB" w:rsidRDefault="00ED3F43" w:rsidP="0092273F">
      <w:pPr>
        <w:pStyle w:val="ListParagraph"/>
        <w:numPr>
          <w:ilvl w:val="0"/>
          <w:numId w:val="7"/>
        </w:numPr>
      </w:pPr>
      <w:r w:rsidRPr="00ED3F43">
        <w:rPr>
          <w:i/>
          <w:iCs/>
        </w:rPr>
        <w:t>Zinnamon v. Profound Color, LLC</w:t>
      </w:r>
      <w:r w:rsidRPr="00ED3F43">
        <w:t>, 2023 U.S. Dist. LEXIS 186736 (S.D.N.Y. 2023)</w:t>
      </w:r>
      <w:r>
        <w:t>(example of court r</w:t>
      </w:r>
      <w:r w:rsidR="003D1753">
        <w:t>equiring plaintiff to demonstrate an “intent to return”).</w:t>
      </w:r>
    </w:p>
    <w:p w14:paraId="2391BA86" w14:textId="5D5CF132" w:rsidR="0092273F" w:rsidRDefault="0092273F" w:rsidP="0092273F">
      <w:pPr>
        <w:pStyle w:val="Heading2"/>
        <w:tabs>
          <w:tab w:val="left" w:pos="1263"/>
        </w:tabs>
      </w:pPr>
      <w:r>
        <w:t>Slide 21 (Standing to Sue—Part 2)</w:t>
      </w:r>
      <w:r>
        <w:tab/>
      </w:r>
    </w:p>
    <w:p w14:paraId="28AD74D5" w14:textId="77777777" w:rsidR="0092273F" w:rsidRPr="00245841" w:rsidRDefault="0092273F" w:rsidP="0092273F">
      <w:pPr>
        <w:pStyle w:val="ListParagraph"/>
        <w:numPr>
          <w:ilvl w:val="0"/>
          <w:numId w:val="8"/>
        </w:numPr>
      </w:pPr>
      <w:r w:rsidRPr="00245841">
        <w:rPr>
          <w:i/>
          <w:iCs/>
        </w:rPr>
        <w:t>Kennedy v. Nisha, Inc.</w:t>
      </w:r>
      <w:r w:rsidRPr="00245841">
        <w:t>, 2020 U.S. Dist. LEXIS 170829 (M.D. Fla. 2020)</w:t>
      </w:r>
    </w:p>
    <w:p w14:paraId="2167D42A" w14:textId="77777777" w:rsidR="0092273F" w:rsidRPr="00245841" w:rsidRDefault="0092273F" w:rsidP="0092273F">
      <w:pPr>
        <w:pStyle w:val="ListParagraph"/>
        <w:numPr>
          <w:ilvl w:val="0"/>
          <w:numId w:val="8"/>
        </w:numPr>
      </w:pPr>
      <w:r w:rsidRPr="00245841">
        <w:rPr>
          <w:i/>
          <w:iCs/>
        </w:rPr>
        <w:t>Rutherford v. Evans Hotels,</w:t>
      </w:r>
      <w:r w:rsidRPr="00245841">
        <w:t xml:space="preserve"> LLC 2020 U.S. Dist. LEXIS 161565 (S.D. Cal. 2020)</w:t>
      </w:r>
    </w:p>
    <w:p w14:paraId="27431F5C" w14:textId="77777777" w:rsidR="0092273F" w:rsidRPr="00245841" w:rsidRDefault="0092273F" w:rsidP="0092273F">
      <w:pPr>
        <w:pStyle w:val="ListParagraph"/>
        <w:numPr>
          <w:ilvl w:val="0"/>
          <w:numId w:val="8"/>
        </w:numPr>
      </w:pPr>
      <w:r w:rsidRPr="00245841">
        <w:rPr>
          <w:i/>
          <w:iCs/>
        </w:rPr>
        <w:t>Murphy v. Bob Cochran Motors, Inc.,</w:t>
      </w:r>
      <w:r w:rsidRPr="00245841">
        <w:t xml:space="preserve"> 2020 U.S. Dist. LEXIS 139887 (W.D. Pa. 2020)</w:t>
      </w:r>
    </w:p>
    <w:p w14:paraId="5516C691" w14:textId="77777777" w:rsidR="0092273F" w:rsidRPr="00245841" w:rsidRDefault="0092273F" w:rsidP="0092273F">
      <w:pPr>
        <w:pStyle w:val="ListParagraph"/>
        <w:numPr>
          <w:ilvl w:val="0"/>
          <w:numId w:val="8"/>
        </w:numPr>
      </w:pPr>
      <w:r w:rsidRPr="00245841">
        <w:rPr>
          <w:i/>
          <w:iCs/>
        </w:rPr>
        <w:t>Parks v. Richard</w:t>
      </w:r>
      <w:r w:rsidRPr="00245841">
        <w:t>, 2020 U.S. Dist. LEXIS 86790 (M.D. Fla. 2020)</w:t>
      </w:r>
    </w:p>
    <w:p w14:paraId="65CC80B7" w14:textId="77777777" w:rsidR="0092273F" w:rsidRPr="00245841" w:rsidRDefault="0092273F" w:rsidP="0092273F">
      <w:pPr>
        <w:pStyle w:val="ListParagraph"/>
        <w:numPr>
          <w:ilvl w:val="0"/>
          <w:numId w:val="8"/>
        </w:numPr>
      </w:pPr>
      <w:r w:rsidRPr="00245841">
        <w:rPr>
          <w:i/>
          <w:iCs/>
        </w:rPr>
        <w:t>Rizzi v. Hilton Domestic Operating Co</w:t>
      </w:r>
      <w:r>
        <w:t>.</w:t>
      </w:r>
      <w:r w:rsidRPr="00245841">
        <w:t>, 2020 Dist. LEXIS 144884 (E.D.N.Y. 2020)</w:t>
      </w:r>
    </w:p>
    <w:p w14:paraId="4EB7D208" w14:textId="2B685B80" w:rsidR="0092273F" w:rsidRPr="00245841" w:rsidRDefault="0092273F" w:rsidP="0092273F">
      <w:pPr>
        <w:pStyle w:val="Heading2"/>
      </w:pPr>
      <w:r w:rsidRPr="00245841">
        <w:t xml:space="preserve">Slide </w:t>
      </w:r>
      <w:r>
        <w:t>22</w:t>
      </w:r>
      <w:r w:rsidRPr="00245841">
        <w:t xml:space="preserve"> (</w:t>
      </w:r>
      <w:r>
        <w:t>Mootness and Res Judicata</w:t>
      </w:r>
      <w:r w:rsidRPr="00245841">
        <w:t>)</w:t>
      </w:r>
      <w:r w:rsidRPr="00245841">
        <w:tab/>
      </w:r>
    </w:p>
    <w:p w14:paraId="7D0169EC" w14:textId="77777777" w:rsidR="0092273F" w:rsidRDefault="0092273F" w:rsidP="0092273F">
      <w:pPr>
        <w:pStyle w:val="ListParagraph"/>
        <w:numPr>
          <w:ilvl w:val="0"/>
          <w:numId w:val="9"/>
        </w:numPr>
      </w:pPr>
      <w:r w:rsidRPr="00245841">
        <w:rPr>
          <w:i/>
          <w:iCs/>
        </w:rPr>
        <w:t>Haynes v. Hooters of America LLC</w:t>
      </w:r>
      <w:r w:rsidRPr="00245841">
        <w:t>, 893 F.3d 781 (11</w:t>
      </w:r>
      <w:r w:rsidRPr="00245841">
        <w:rPr>
          <w:vertAlign w:val="superscript"/>
        </w:rPr>
        <w:t>th</w:t>
      </w:r>
      <w:r w:rsidRPr="00245841">
        <w:t xml:space="preserve"> Cir. 2018)</w:t>
      </w:r>
    </w:p>
    <w:p w14:paraId="3A498DF4" w14:textId="77777777" w:rsidR="0092273F" w:rsidRPr="00245841" w:rsidRDefault="0092273F" w:rsidP="0092273F">
      <w:pPr>
        <w:pStyle w:val="ListParagraph"/>
        <w:numPr>
          <w:ilvl w:val="0"/>
          <w:numId w:val="9"/>
        </w:numPr>
      </w:pPr>
      <w:r w:rsidRPr="00245841">
        <w:rPr>
          <w:i/>
          <w:iCs/>
        </w:rPr>
        <w:t>Markett v. Five Guys Enterprises, LLC</w:t>
      </w:r>
      <w:r w:rsidRPr="00245841">
        <w:t>, 2017 U.S. Dist. LEXIS 115212 (S.D.N.Y. 2017)</w:t>
      </w:r>
    </w:p>
    <w:p w14:paraId="32D79000" w14:textId="3BA2A440" w:rsidR="0092273F" w:rsidRDefault="0092273F" w:rsidP="0092273F">
      <w:pPr>
        <w:pStyle w:val="ListParagraph"/>
        <w:numPr>
          <w:ilvl w:val="0"/>
          <w:numId w:val="9"/>
        </w:numPr>
      </w:pPr>
      <w:r w:rsidRPr="00245841">
        <w:rPr>
          <w:i/>
          <w:iCs/>
        </w:rPr>
        <w:t>Fernandez v. Dolce &amp; Gabbana</w:t>
      </w:r>
      <w:r w:rsidRPr="00245841">
        <w:t>, 2020 U.S. Dist. LEXIS 28182 (S.D. Fla. Feb. 14, 2020)</w:t>
      </w:r>
    </w:p>
    <w:p w14:paraId="698405B0" w14:textId="44C7AD99" w:rsidR="0018028B" w:rsidRDefault="0018028B" w:rsidP="0092273F">
      <w:pPr>
        <w:pStyle w:val="ListParagraph"/>
        <w:numPr>
          <w:ilvl w:val="0"/>
          <w:numId w:val="9"/>
        </w:numPr>
      </w:pPr>
      <w:r w:rsidRPr="0018028B">
        <w:rPr>
          <w:i/>
          <w:iCs/>
        </w:rPr>
        <w:t>Langer v. Ralphs Grocery Co</w:t>
      </w:r>
      <w:r w:rsidRPr="0018028B">
        <w:t>., 2022 U.S. Dist. LEXIS 134685 (S.D. Cal. 2022)</w:t>
      </w:r>
      <w:r>
        <w:t>(example where mootness argument works)</w:t>
      </w:r>
    </w:p>
    <w:p w14:paraId="5538965D" w14:textId="475FC0F1" w:rsidR="00FB0853" w:rsidRPr="00245841" w:rsidRDefault="00FB0853" w:rsidP="0092273F">
      <w:pPr>
        <w:pStyle w:val="ListParagraph"/>
        <w:numPr>
          <w:ilvl w:val="0"/>
          <w:numId w:val="9"/>
        </w:numPr>
      </w:pPr>
      <w:r w:rsidRPr="00FB0853">
        <w:rPr>
          <w:i/>
          <w:iCs/>
        </w:rPr>
        <w:t>Tavarez v. Extract Labs</w:t>
      </w:r>
      <w:r w:rsidRPr="00FB0853">
        <w:t>, 2023 U.S. Dist. LEXIS 55615 (S.D.N.Y. 2023)</w:t>
      </w:r>
      <w:r>
        <w:t>(another rare case where mootness worked).</w:t>
      </w:r>
    </w:p>
    <w:p w14:paraId="12BC18FC" w14:textId="0390BFB2" w:rsidR="0092273F" w:rsidRDefault="0092273F" w:rsidP="0092273F">
      <w:pPr>
        <w:pStyle w:val="Heading2"/>
      </w:pPr>
      <w:r w:rsidRPr="00245841">
        <w:t xml:space="preserve">Slide </w:t>
      </w:r>
      <w:r>
        <w:t>23 (Personal Jurisdiction</w:t>
      </w:r>
      <w:r w:rsidRPr="00245841">
        <w:t>)</w:t>
      </w:r>
    </w:p>
    <w:p w14:paraId="55172BE0" w14:textId="77777777" w:rsidR="0092273F" w:rsidRDefault="0092273F" w:rsidP="0092273F">
      <w:pPr>
        <w:pStyle w:val="ListParagraph"/>
        <w:numPr>
          <w:ilvl w:val="0"/>
          <w:numId w:val="10"/>
        </w:numPr>
      </w:pPr>
      <w:r w:rsidRPr="00245841">
        <w:rPr>
          <w:i/>
          <w:iCs/>
        </w:rPr>
        <w:t xml:space="preserve">Access Now v. Sportwear, Inc., </w:t>
      </w:r>
      <w:r w:rsidRPr="00245841">
        <w:t>298 F. Supp. 3d 296</w:t>
      </w:r>
      <w:r w:rsidRPr="00245841">
        <w:rPr>
          <w:i/>
          <w:iCs/>
        </w:rPr>
        <w:t xml:space="preserve"> </w:t>
      </w:r>
      <w:r w:rsidRPr="00245841">
        <w:t>(D. Mass. 2018)</w:t>
      </w:r>
    </w:p>
    <w:p w14:paraId="74FB1048" w14:textId="77777777" w:rsidR="0092273F" w:rsidRPr="00245841" w:rsidRDefault="0092273F" w:rsidP="0092273F">
      <w:pPr>
        <w:pStyle w:val="ListParagraph"/>
        <w:numPr>
          <w:ilvl w:val="0"/>
          <w:numId w:val="10"/>
        </w:numPr>
      </w:pPr>
      <w:r w:rsidRPr="00245841">
        <w:rPr>
          <w:i/>
          <w:iCs/>
        </w:rPr>
        <w:t>Thurston v Fairfield Collectibles of Georgia LLC</w:t>
      </w:r>
      <w:r w:rsidRPr="00245841">
        <w:t>, 53 Cal. App. 5th 1231 (Ct. App. Cal. 2020)</w:t>
      </w:r>
    </w:p>
    <w:p w14:paraId="5EAC872D" w14:textId="77777777" w:rsidR="0092273F" w:rsidRDefault="0092273F" w:rsidP="0092273F">
      <w:pPr>
        <w:pStyle w:val="ListParagraph"/>
        <w:numPr>
          <w:ilvl w:val="0"/>
          <w:numId w:val="10"/>
        </w:numPr>
      </w:pPr>
      <w:r w:rsidRPr="00245841">
        <w:rPr>
          <w:i/>
          <w:iCs/>
        </w:rPr>
        <w:t>Sullivan v. Walker Construction</w:t>
      </w:r>
      <w:r w:rsidRPr="00245841">
        <w:t>, 2019 U.S. Dist. LEXIS 77113 (S.D.N.Y. 2019)</w:t>
      </w:r>
    </w:p>
    <w:p w14:paraId="531F048C" w14:textId="635AA340" w:rsidR="00A462C1" w:rsidRDefault="001B01C6" w:rsidP="001B01C6">
      <w:pPr>
        <w:pStyle w:val="ListParagraph"/>
        <w:numPr>
          <w:ilvl w:val="0"/>
          <w:numId w:val="10"/>
        </w:numPr>
      </w:pPr>
      <w:r w:rsidRPr="00211FAE">
        <w:rPr>
          <w:i/>
          <w:iCs/>
        </w:rPr>
        <w:t xml:space="preserve">Licea v. Bump Boxes, </w:t>
      </w:r>
      <w:r w:rsidRPr="00211FAE">
        <w:t>2022 Cal. App. Unpub. LEXIS 4784 (Cal. Ct. App. 2022)</w:t>
      </w:r>
      <w:r w:rsidRPr="00211FAE">
        <w:rPr>
          <w:i/>
          <w:iCs/>
        </w:rPr>
        <w:t xml:space="preserve"> </w:t>
      </w:r>
      <w:r>
        <w:t xml:space="preserve">(personal jurisdiction under Unruh exists over Illinois company), </w:t>
      </w:r>
      <w:r w:rsidRPr="00211FAE">
        <w:rPr>
          <w:i/>
          <w:iCs/>
        </w:rPr>
        <w:t>but see</w:t>
      </w:r>
      <w:r>
        <w:rPr>
          <w:i/>
          <w:iCs/>
        </w:rPr>
        <w:t>,</w:t>
      </w:r>
      <w:r>
        <w:t xml:space="preserve"> </w:t>
      </w:r>
      <w:r w:rsidRPr="00245841">
        <w:rPr>
          <w:i/>
          <w:iCs/>
        </w:rPr>
        <w:t>Bump Boxes, Inc. v. Licea</w:t>
      </w:r>
      <w:r w:rsidRPr="00245841">
        <w:t>, 2020 U.S. Dist. LEXIS 57843 (C.D. Ill. 2020)</w:t>
      </w:r>
      <w:r>
        <w:t>(federal court in Illinois holding differently)</w:t>
      </w:r>
    </w:p>
    <w:sectPr w:rsidR="00A462C1" w:rsidSect="00A068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A4EDD"/>
    <w:multiLevelType w:val="hybridMultilevel"/>
    <w:tmpl w:val="8A06A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33F56"/>
    <w:multiLevelType w:val="hybridMultilevel"/>
    <w:tmpl w:val="6CEE8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E6F0D"/>
    <w:multiLevelType w:val="hybridMultilevel"/>
    <w:tmpl w:val="46441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016E7"/>
    <w:multiLevelType w:val="hybridMultilevel"/>
    <w:tmpl w:val="8EC0C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27468"/>
    <w:multiLevelType w:val="hybridMultilevel"/>
    <w:tmpl w:val="FAEE3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8434F"/>
    <w:multiLevelType w:val="hybridMultilevel"/>
    <w:tmpl w:val="D1902602"/>
    <w:lvl w:ilvl="0" w:tplc="6AC817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0221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AEB2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C0DD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7E06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70CD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4EEA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96DC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B6C2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BE116D3"/>
    <w:multiLevelType w:val="hybridMultilevel"/>
    <w:tmpl w:val="A6D60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516F5"/>
    <w:multiLevelType w:val="hybridMultilevel"/>
    <w:tmpl w:val="EE34F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C73FDD"/>
    <w:multiLevelType w:val="hybridMultilevel"/>
    <w:tmpl w:val="7638A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542ED2"/>
    <w:multiLevelType w:val="hybridMultilevel"/>
    <w:tmpl w:val="B33ED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6D588B"/>
    <w:multiLevelType w:val="hybridMultilevel"/>
    <w:tmpl w:val="11203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8C5168"/>
    <w:multiLevelType w:val="hybridMultilevel"/>
    <w:tmpl w:val="7D744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782054"/>
    <w:multiLevelType w:val="hybridMultilevel"/>
    <w:tmpl w:val="00A64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7A0972"/>
    <w:multiLevelType w:val="hybridMultilevel"/>
    <w:tmpl w:val="053C2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5148071">
    <w:abstractNumId w:val="5"/>
  </w:num>
  <w:num w:numId="2" w16cid:durableId="1361931600">
    <w:abstractNumId w:val="12"/>
  </w:num>
  <w:num w:numId="3" w16cid:durableId="434248095">
    <w:abstractNumId w:val="4"/>
  </w:num>
  <w:num w:numId="4" w16cid:durableId="2019191037">
    <w:abstractNumId w:val="13"/>
  </w:num>
  <w:num w:numId="5" w16cid:durableId="1697389471">
    <w:abstractNumId w:val="2"/>
  </w:num>
  <w:num w:numId="6" w16cid:durableId="38745279">
    <w:abstractNumId w:val="11"/>
  </w:num>
  <w:num w:numId="7" w16cid:durableId="1038042306">
    <w:abstractNumId w:val="3"/>
  </w:num>
  <w:num w:numId="8" w16cid:durableId="1685936345">
    <w:abstractNumId w:val="0"/>
  </w:num>
  <w:num w:numId="9" w16cid:durableId="1930582667">
    <w:abstractNumId w:val="7"/>
  </w:num>
  <w:num w:numId="10" w16cid:durableId="1726906285">
    <w:abstractNumId w:val="9"/>
  </w:num>
  <w:num w:numId="11" w16cid:durableId="1145201082">
    <w:abstractNumId w:val="10"/>
  </w:num>
  <w:num w:numId="12" w16cid:durableId="1204363264">
    <w:abstractNumId w:val="8"/>
  </w:num>
  <w:num w:numId="13" w16cid:durableId="1421607865">
    <w:abstractNumId w:val="1"/>
  </w:num>
  <w:num w:numId="14" w16cid:durableId="169646759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4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2C1"/>
    <w:rsid w:val="00003705"/>
    <w:rsid w:val="0011473E"/>
    <w:rsid w:val="00125898"/>
    <w:rsid w:val="0018028B"/>
    <w:rsid w:val="001B01C6"/>
    <w:rsid w:val="001B6A0D"/>
    <w:rsid w:val="00245841"/>
    <w:rsid w:val="002638DE"/>
    <w:rsid w:val="00263CB9"/>
    <w:rsid w:val="002E1F1A"/>
    <w:rsid w:val="00300440"/>
    <w:rsid w:val="003D1753"/>
    <w:rsid w:val="003E5A53"/>
    <w:rsid w:val="004B49DB"/>
    <w:rsid w:val="00605C0D"/>
    <w:rsid w:val="00670FD4"/>
    <w:rsid w:val="006C3738"/>
    <w:rsid w:val="00794758"/>
    <w:rsid w:val="007A7309"/>
    <w:rsid w:val="008B5E09"/>
    <w:rsid w:val="008C09F2"/>
    <w:rsid w:val="0092273F"/>
    <w:rsid w:val="009967AD"/>
    <w:rsid w:val="00A068B6"/>
    <w:rsid w:val="00A179D0"/>
    <w:rsid w:val="00A462C1"/>
    <w:rsid w:val="00AA4CA5"/>
    <w:rsid w:val="00B06225"/>
    <w:rsid w:val="00B10346"/>
    <w:rsid w:val="00B55DA1"/>
    <w:rsid w:val="00B82764"/>
    <w:rsid w:val="00C01AAB"/>
    <w:rsid w:val="00C35DCA"/>
    <w:rsid w:val="00CA14F2"/>
    <w:rsid w:val="00DE456D"/>
    <w:rsid w:val="00E232EB"/>
    <w:rsid w:val="00ED3F43"/>
    <w:rsid w:val="00F1071B"/>
    <w:rsid w:val="00F33C4B"/>
    <w:rsid w:val="00F651E9"/>
    <w:rsid w:val="00FB0853"/>
    <w:rsid w:val="00FD472C"/>
    <w:rsid w:val="07AC6F3C"/>
    <w:rsid w:val="0C3CC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D985B1"/>
  <w15:chartTrackingRefBased/>
  <w15:docId w15:val="{EDED4403-990C-5644-B8D8-EA830029C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841"/>
  </w:style>
  <w:style w:type="paragraph" w:styleId="Heading1">
    <w:name w:val="heading 1"/>
    <w:basedOn w:val="Normal"/>
    <w:next w:val="Normal"/>
    <w:link w:val="Heading1Char"/>
    <w:uiPriority w:val="9"/>
    <w:qFormat/>
    <w:rsid w:val="00A462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62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32E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62C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622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B0622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F651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27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273F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32E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E232E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232E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00178">
          <w:marLeft w:val="36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0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.usablenet.com/author/jason-taylor" TargetMode="External"/><Relationship Id="rId13" Type="http://schemas.openxmlformats.org/officeDocument/2006/relationships/hyperlink" Target="https://www.ada.gov/regs2010/titleIII_2010/titleIII_2010_regulations.ht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ada.gov/pubs/adastatute08.ht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law.cornell.edu/uscode/text/29/794" TargetMode="External"/><Relationship Id="rId5" Type="http://schemas.openxmlformats.org/officeDocument/2006/relationships/styles" Target="styles.xml"/><Relationship Id="rId15" Type="http://schemas.openxmlformats.org/officeDocument/2006/relationships/hyperlink" Target="https://leginfo.legislature.ca.gov/faces/codes.xhtml" TargetMode="External"/><Relationship Id="rId10" Type="http://schemas.openxmlformats.org/officeDocument/2006/relationships/hyperlink" Target="https://www.ada.gov/regs2010/titleII_2010/titleII_2010_regulations.ht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ada.gov/pubs/adastatute08.htm" TargetMode="External"/><Relationship Id="rId14" Type="http://schemas.openxmlformats.org/officeDocument/2006/relationships/hyperlink" Target="https://leginfo.legislature.ca.gov/faces/codes.x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45684CD9F04947B6B6B5212FF5F9F5" ma:contentTypeVersion="9" ma:contentTypeDescription="Create a new document." ma:contentTypeScope="" ma:versionID="f333c276d8a0968115b8cf1ca721717e">
  <xsd:schema xmlns:xsd="http://www.w3.org/2001/XMLSchema" xmlns:xs="http://www.w3.org/2001/XMLSchema" xmlns:p="http://schemas.microsoft.com/office/2006/metadata/properties" xmlns:ns2="4bbc8724-c935-444b-ad82-91bd96545d86" xmlns:ns3="02053e10-65e2-4933-96d1-c4194abc3143" targetNamespace="http://schemas.microsoft.com/office/2006/metadata/properties" ma:root="true" ma:fieldsID="c7c6e2afb4e53e9aeb0aa284f694805a" ns2:_="" ns3:_="">
    <xsd:import namespace="4bbc8724-c935-444b-ad82-91bd96545d86"/>
    <xsd:import namespace="02053e10-65e2-4933-96d1-c4194abc31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bc8724-c935-444b-ad82-91bd96545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053e10-65e2-4933-96d1-c4194abc314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A8E979-B406-412E-A148-1B378B062D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bc8724-c935-444b-ad82-91bd96545d86"/>
    <ds:schemaRef ds:uri="02053e10-65e2-4933-96d1-c4194abc31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7CFD4D-BD3C-4FEF-B0BD-A0431D2571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D49C708-753E-4F74-BE73-D065F3334C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926</Words>
  <Characters>5280</Characters>
  <Application>Microsoft Office Word</Application>
  <DocSecurity>0</DocSecurity>
  <Lines>44</Lines>
  <Paragraphs>12</Paragraphs>
  <ScaleCrop>false</ScaleCrop>
  <Company/>
  <LinksUpToDate>false</LinksUpToDate>
  <CharactersWithSpaces>6194</CharactersWithSpaces>
  <SharedDoc>false</SharedDoc>
  <HLinks>
    <vt:vector size="48" baseType="variant">
      <vt:variant>
        <vt:i4>983108</vt:i4>
      </vt:variant>
      <vt:variant>
        <vt:i4>21</vt:i4>
      </vt:variant>
      <vt:variant>
        <vt:i4>0</vt:i4>
      </vt:variant>
      <vt:variant>
        <vt:i4>5</vt:i4>
      </vt:variant>
      <vt:variant>
        <vt:lpwstr>https://leginfo.legislature.ca.gov/faces/codes.xhtml</vt:lpwstr>
      </vt:variant>
      <vt:variant>
        <vt:lpwstr/>
      </vt:variant>
      <vt:variant>
        <vt:i4>983108</vt:i4>
      </vt:variant>
      <vt:variant>
        <vt:i4>18</vt:i4>
      </vt:variant>
      <vt:variant>
        <vt:i4>0</vt:i4>
      </vt:variant>
      <vt:variant>
        <vt:i4>5</vt:i4>
      </vt:variant>
      <vt:variant>
        <vt:lpwstr>https://leginfo.legislature.ca.gov/faces/codes.xhtml</vt:lpwstr>
      </vt:variant>
      <vt:variant>
        <vt:lpwstr/>
      </vt:variant>
      <vt:variant>
        <vt:i4>4194356</vt:i4>
      </vt:variant>
      <vt:variant>
        <vt:i4>15</vt:i4>
      </vt:variant>
      <vt:variant>
        <vt:i4>0</vt:i4>
      </vt:variant>
      <vt:variant>
        <vt:i4>5</vt:i4>
      </vt:variant>
      <vt:variant>
        <vt:lpwstr>https://www.ada.gov/regs2010/titleIII_2010/titleIII_2010_regulations.htm</vt:lpwstr>
      </vt:variant>
      <vt:variant>
        <vt:lpwstr/>
      </vt:variant>
      <vt:variant>
        <vt:i4>5898330</vt:i4>
      </vt:variant>
      <vt:variant>
        <vt:i4>12</vt:i4>
      </vt:variant>
      <vt:variant>
        <vt:i4>0</vt:i4>
      </vt:variant>
      <vt:variant>
        <vt:i4>5</vt:i4>
      </vt:variant>
      <vt:variant>
        <vt:lpwstr>https://www.ada.gov/pubs/adastatute08.htm</vt:lpwstr>
      </vt:variant>
      <vt:variant>
        <vt:lpwstr/>
      </vt:variant>
      <vt:variant>
        <vt:i4>7274555</vt:i4>
      </vt:variant>
      <vt:variant>
        <vt:i4>9</vt:i4>
      </vt:variant>
      <vt:variant>
        <vt:i4>0</vt:i4>
      </vt:variant>
      <vt:variant>
        <vt:i4>5</vt:i4>
      </vt:variant>
      <vt:variant>
        <vt:lpwstr>https://www.law.cornell.edu/uscode/text/29/794</vt:lpwstr>
      </vt:variant>
      <vt:variant>
        <vt:lpwstr/>
      </vt:variant>
      <vt:variant>
        <vt:i4>5439527</vt:i4>
      </vt:variant>
      <vt:variant>
        <vt:i4>6</vt:i4>
      </vt:variant>
      <vt:variant>
        <vt:i4>0</vt:i4>
      </vt:variant>
      <vt:variant>
        <vt:i4>5</vt:i4>
      </vt:variant>
      <vt:variant>
        <vt:lpwstr>https://www.ada.gov/regs2010/titleII_2010/titleII_2010_regulations.htm</vt:lpwstr>
      </vt:variant>
      <vt:variant>
        <vt:lpwstr/>
      </vt:variant>
      <vt:variant>
        <vt:i4>5898330</vt:i4>
      </vt:variant>
      <vt:variant>
        <vt:i4>3</vt:i4>
      </vt:variant>
      <vt:variant>
        <vt:i4>0</vt:i4>
      </vt:variant>
      <vt:variant>
        <vt:i4>5</vt:i4>
      </vt:variant>
      <vt:variant>
        <vt:lpwstr>https://www.ada.gov/pubs/adastatute08.htm</vt:lpwstr>
      </vt:variant>
      <vt:variant>
        <vt:lpwstr/>
      </vt:variant>
      <vt:variant>
        <vt:i4>8323174</vt:i4>
      </vt:variant>
      <vt:variant>
        <vt:i4>0</vt:i4>
      </vt:variant>
      <vt:variant>
        <vt:i4>0</vt:i4>
      </vt:variant>
      <vt:variant>
        <vt:i4>5</vt:i4>
      </vt:variant>
      <vt:variant>
        <vt:lpwstr>https://blog.usablenet.com/author/jason-taylor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Nakata</dc:creator>
  <cp:keywords/>
  <dc:description/>
  <cp:lastModifiedBy>Ken Nakata</cp:lastModifiedBy>
  <cp:revision>22</cp:revision>
  <cp:lastPrinted>2022-10-11T19:57:00Z</cp:lastPrinted>
  <dcterms:created xsi:type="dcterms:W3CDTF">2022-11-17T22:19:00Z</dcterms:created>
  <dcterms:modified xsi:type="dcterms:W3CDTF">2023-11-05T20:21:00Z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0x010100ED45684CD9F04947B6B6B5212FF5F9F5</vt:lpwstr>
  </property>
</Properties>
</file>