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xv79psie7ri3" w:id="0"/>
      <w:bookmarkEnd w:id="0"/>
      <w:r w:rsidDel="00000000" w:rsidR="00000000" w:rsidRPr="00000000">
        <w:rPr>
          <w:rtl w:val="0"/>
        </w:rPr>
        <w:t xml:space="preserve">Creating a Campus-wide Accessibility Program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Kate Percival, Web/Digital Content Coordinator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State University of New York at Oswego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kathleen.percival@oswego.edu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Accessibility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oswego.edu/accessibility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jx44gnir0eza" w:id="1"/>
      <w:bookmarkEnd w:id="1"/>
      <w:r w:rsidDel="00000000" w:rsidR="00000000" w:rsidRPr="00000000">
        <w:rPr>
          <w:rtl w:val="0"/>
        </w:rPr>
        <w:t xml:space="preserve">Objectives: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Share Oswego’s strategies on how to: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Create collaborative partnerships and develop a supportive network of allies across multiple departments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Change the tone of the narrative that’s being used to empower and encourage others to join the accessibility initiative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Broaden the understanding of the terms “accessible” and “accessibility” to relate to equality and inclusion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f5bf8313uq0x" w:id="2"/>
      <w:bookmarkEnd w:id="2"/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7tb4b6shgtg5" w:id="3"/>
      <w:bookmarkEnd w:id="3"/>
      <w:r w:rsidDel="00000000" w:rsidR="00000000" w:rsidRPr="00000000">
        <w:rPr>
          <w:rtl w:val="0"/>
        </w:rPr>
        <w:t xml:space="preserve">OCR Complaint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2017, SUNY Oswego, along with many other schools, faced a complaint from the Office of Civil Rights calling out specific web pages as being inaccessible. 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springboarded our accessibility efforts on campus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e79sso3mg1s1" w:id="4"/>
      <w:bookmarkEnd w:id="4"/>
      <w:r w:rsidDel="00000000" w:rsidR="00000000" w:rsidRPr="00000000">
        <w:rPr>
          <w:rtl w:val="0"/>
        </w:rPr>
        <w:t xml:space="preserve">Reasons for Sharing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Provide knowledge and understanding that we didn’t have at that time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Help another organization/institution prevent being in the same vulnerable situation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Learn from one another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has success and mistakes and failures</w:t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can help each other be better 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ezxj4kkfitd9" w:id="5"/>
      <w:bookmarkEnd w:id="5"/>
      <w:r w:rsidDel="00000000" w:rsidR="00000000" w:rsidRPr="00000000">
        <w:rPr>
          <w:rtl w:val="0"/>
        </w:rPr>
        <w:t xml:space="preserve">Handling the Complaint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was no pointing fingers or placing blame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Upper management had the attitude of “Let’s make it right”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Became a positive learning experience for everyone involved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corrected the immediate issues, then decided to focus on being proactive to avoid similar issues in the future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jx2eg08t4xco" w:id="6"/>
      <w:bookmarkEnd w:id="6"/>
      <w:r w:rsidDel="00000000" w:rsidR="00000000" w:rsidRPr="00000000">
        <w:rPr>
          <w:rtl w:val="0"/>
        </w:rPr>
        <w:t xml:space="preserve">Proactive Changes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Established committees and groups around accessibility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web editor training to include accessibility basics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Offered more accessibility professional development training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Hired a Digital Accessibility Analyst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76eb61wm20cl" w:id="7"/>
      <w:bookmarkEnd w:id="7"/>
      <w:r w:rsidDel="00000000" w:rsidR="00000000" w:rsidRPr="00000000">
        <w:rPr>
          <w:rtl w:val="0"/>
        </w:rPr>
        <w:t xml:space="preserve">Lessons Learned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takes a village; learn from each other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Different areas of expertise allow people to learn from one another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Various perspectives bring a variety of solutions to the table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inclusive design when working with accessibility.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for outer edges of the bell curve to benefit more people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Devices, environmental factors, situational/temporary disabilities may prevent people from consuming digital content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It’s an ongoing process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“Can’t Hurt Me” by David Goggins - “There is no finish line.”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Continually striving to improve, then you’re moving in the right direction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Invest in digital accessibility culture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Training, awareness, dedicated committees/teams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Restructure, reallocate, reprioritize, use grants, find the money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Not a question of “if,” it’s a matter of “when.”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Approach accessibility as if you know you’re going to have a complaint filed against you and you’ll be in a much better position to handle it.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a complaint never comes, you’ve done something right!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OCR dropped the complaint. We are in a better position now, but still not 100%.</w:t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nj0woq9s4qat" w:id="8"/>
      <w:bookmarkEnd w:id="8"/>
      <w:r w:rsidDel="00000000" w:rsidR="00000000" w:rsidRPr="00000000">
        <w:rPr>
          <w:rtl w:val="0"/>
        </w:rPr>
        <w:t xml:space="preserve">1. Create collaborative partnerships and allies across departments</w:t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d919dsnhow7u" w:id="9"/>
      <w:bookmarkEnd w:id="9"/>
      <w:r w:rsidDel="00000000" w:rsidR="00000000" w:rsidRPr="00000000">
        <w:rPr>
          <w:rtl w:val="0"/>
        </w:rPr>
        <w:t xml:space="preserve">A Coalition of the Willing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The only way to change the culture at your institution or organization is by one conversation at a time. Those conversations will then spider-web their way outward and exponentially gather more people. 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zb9qi0hjdm67" w:id="10"/>
      <w:bookmarkEnd w:id="10"/>
      <w:r w:rsidDel="00000000" w:rsidR="00000000" w:rsidRPr="00000000">
        <w:rPr>
          <w:rtl w:val="0"/>
        </w:rPr>
        <w:t xml:space="preserve">Groups at Oswego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Steering Committee: 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Set direction and goals, Develop policy and process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Workgroup on Accessibility Practices: 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Develop resources, including Accessibility website and tutorials; hold workshops and training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Web Steering Committee: 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Support and maintain accessible website and communication materials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Remediation team: 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Evaluate online courses and assist faculty and staff in providing accessible online materials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Faculty Fellows: faculty members from each of the different schools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Advocate for accessibility on campus, act as liaison to departments, teach accessibility in class, expand discipline-specific accessibility expertise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Representatives from various departments, including: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Campus Technology Services, 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Office of President, 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Marketing &amp; Communication, 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Extended Learning, 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Office of Diversity &amp; Inclusion, 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Accessibility Resources, 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Library, 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and faculty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owkrszgjo5vc" w:id="11"/>
      <w:bookmarkEnd w:id="11"/>
      <w:r w:rsidDel="00000000" w:rsidR="00000000" w:rsidRPr="00000000">
        <w:rPr>
          <w:rtl w:val="0"/>
        </w:rPr>
        <w:t xml:space="preserve">Meet people where they are, physically and conceptually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Hold training during regular department or unit meetings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Provide a variety of formats for resources and training</w:t>
      </w:r>
    </w:p>
    <w:p w:rsidR="00000000" w:rsidDel="00000000" w:rsidP="00000000" w:rsidRDefault="00000000" w:rsidRPr="00000000" w14:paraId="0000004B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Beginner and intermediate</w:t>
      </w:r>
    </w:p>
    <w:p w:rsidR="00000000" w:rsidDel="00000000" w:rsidP="00000000" w:rsidRDefault="00000000" w:rsidRPr="00000000" w14:paraId="0000004C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Written and video tutorials</w:t>
      </w:r>
    </w:p>
    <w:p w:rsidR="00000000" w:rsidDel="00000000" w:rsidP="00000000" w:rsidRDefault="00000000" w:rsidRPr="00000000" w14:paraId="0000004D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Autonomous and live synchronous sessions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Include with new course developments and course revisions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One very important but overlooked aspect: Focus on small achievements!</w:t>
      </w:r>
    </w:p>
    <w:p w:rsidR="00000000" w:rsidDel="00000000" w:rsidP="00000000" w:rsidRDefault="00000000" w:rsidRPr="00000000" w14:paraId="00000050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Baby steps: focus on one or two aspects at a time</w:t>
      </w:r>
    </w:p>
    <w:p w:rsidR="00000000" w:rsidDel="00000000" w:rsidP="00000000" w:rsidRDefault="00000000" w:rsidRPr="00000000" w14:paraId="00000051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Celebrate when these are mastered or understood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weldo3pz82i8" w:id="12"/>
      <w:bookmarkEnd w:id="12"/>
      <w:r w:rsidDel="00000000" w:rsidR="00000000" w:rsidRPr="00000000">
        <w:rPr>
          <w:rtl w:val="0"/>
        </w:rPr>
        <w:t xml:space="preserve">Expand and share your own knowledge and the knowledge of others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Those with a little knowledge can train those who know even less</w:t>
      </w:r>
    </w:p>
    <w:p w:rsidR="00000000" w:rsidDel="00000000" w:rsidP="00000000" w:rsidRDefault="00000000" w:rsidRPr="00000000" w14:paraId="00000054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There is always someone who knows more and always someone who doesn’t know as much as you</w:t>
      </w:r>
    </w:p>
    <w:p w:rsidR="00000000" w:rsidDel="00000000" w:rsidP="00000000" w:rsidRDefault="00000000" w:rsidRPr="00000000" w14:paraId="00000055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Learn from those who know more, teach those who don’t know as much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Continue professional development</w:t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Take advantage of conferences, webinars, and presentations</w:t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Let leaders drag others along</w:t>
      </w:r>
    </w:p>
    <w:p w:rsidR="00000000" w:rsidDel="00000000" w:rsidP="00000000" w:rsidRDefault="00000000" w:rsidRPr="00000000" w14:paraId="00000059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Provide them with the time and resources to move forward, they will break the old patterns</w:t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lhpz2dx3yvg8" w:id="13"/>
      <w:bookmarkEnd w:id="13"/>
      <w:r w:rsidDel="00000000" w:rsidR="00000000" w:rsidRPr="00000000">
        <w:rPr>
          <w:rtl w:val="0"/>
        </w:rPr>
        <w:t xml:space="preserve">2. Change the narrative that is being used to empower and engage others</w:t>
      </w:r>
    </w:p>
    <w:p w:rsidR="00000000" w:rsidDel="00000000" w:rsidP="00000000" w:rsidRDefault="00000000" w:rsidRPr="00000000" w14:paraId="0000005B">
      <w:pPr>
        <w:pStyle w:val="Heading3"/>
        <w:rPr/>
      </w:pPr>
      <w:bookmarkStart w:colFirst="0" w:colLast="0" w:name="_1ilbj3djorcl" w:id="14"/>
      <w:bookmarkEnd w:id="14"/>
      <w:r w:rsidDel="00000000" w:rsidR="00000000" w:rsidRPr="00000000">
        <w:rPr>
          <w:rtl w:val="0"/>
        </w:rPr>
        <w:t xml:space="preserve">Want to vs. Need to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People generally don’t like to be told what to do! We were getting pushback by telling people they had to incorporate accessibility. We needed to find a way to invite and engage people, encourage them that they wanted to do it. 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4xgxc2gkiqe3" w:id="15"/>
      <w:bookmarkEnd w:id="15"/>
      <w:r w:rsidDel="00000000" w:rsidR="00000000" w:rsidRPr="00000000">
        <w:rPr>
          <w:rtl w:val="0"/>
        </w:rPr>
        <w:t xml:space="preserve">Impact of Covid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course remediation jumped from an average of 20 courses per semester to over 200 courses in Fall 2020, this was unsustainable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creators needed to take ownership of their content’s accessibility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needed to provide support and wide-scale training to support that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Focused on highlighting the benefits accessibility has for a wide range of audiences</w:t>
      </w:r>
    </w:p>
    <w:p w:rsidR="00000000" w:rsidDel="00000000" w:rsidP="00000000" w:rsidRDefault="00000000" w:rsidRPr="00000000" w14:paraId="00000062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Explained how various features help people in different situations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1broymx0rgq0" w:id="16"/>
      <w:bookmarkEnd w:id="16"/>
      <w:r w:rsidDel="00000000" w:rsidR="00000000" w:rsidRPr="00000000">
        <w:rPr>
          <w:rtl w:val="0"/>
        </w:rPr>
        <w:t xml:space="preserve">10-Day Accessibility Challenge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Campus-wide promotion plan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Focused on 1 topic per day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Broke it down into simple steps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a gamification aspect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Studies show that having some kind of reward draws people in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Framed in a very inviting, friendly, and engaging manner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Flip the narrative on its head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Wanted to encourage people to join rather than force them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Highlighted benefits to wide audiences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tcxmj9obeba3" w:id="17"/>
      <w:bookmarkEnd w:id="17"/>
      <w:r w:rsidDel="00000000" w:rsidR="00000000" w:rsidRPr="00000000">
        <w:rPr>
          <w:rtl w:val="0"/>
        </w:rPr>
        <w:t xml:space="preserve">10-Day Accessibility Challenge Goals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Improve confidence and skills with foundational accessibility principles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Teach others how to create accessible documents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Build an accessibility community</w:t>
      </w:r>
    </w:p>
    <w:p w:rsidR="00000000" w:rsidDel="00000000" w:rsidP="00000000" w:rsidRDefault="00000000" w:rsidRPr="00000000" w14:paraId="00000071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 with others around accessibility 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Involve all campus personnel</w:t>
      </w:r>
    </w:p>
    <w:p w:rsidR="00000000" w:rsidDel="00000000" w:rsidP="00000000" w:rsidRDefault="00000000" w:rsidRPr="00000000" w14:paraId="00000073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Until January 2021, we had been focused on online faculty</w:t>
      </w:r>
    </w:p>
    <w:p w:rsidR="00000000" w:rsidDel="00000000" w:rsidP="00000000" w:rsidRDefault="00000000" w:rsidRPr="00000000" w14:paraId="00000074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Needed to involve all content creators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i28e0frhtkwe" w:id="18"/>
      <w:bookmarkEnd w:id="18"/>
      <w:r w:rsidDel="00000000" w:rsidR="00000000" w:rsidRPr="00000000">
        <w:rPr>
          <w:rtl w:val="0"/>
        </w:rPr>
        <w:t xml:space="preserve">10DAC Results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Nearly 200 participants signed up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42% staff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27% faculty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23% students 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8% other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Unique page views of the accessibility website jumped during the challenge period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participant surveys, familiarity and confidence increased</w:t>
      </w:r>
    </w:p>
    <w:p w:rsidR="00000000" w:rsidDel="00000000" w:rsidP="00000000" w:rsidRDefault="00000000" w:rsidRPr="00000000" w14:paraId="0000007D">
      <w:pPr>
        <w:pStyle w:val="Heading2"/>
        <w:rPr/>
      </w:pPr>
      <w:bookmarkStart w:colFirst="0" w:colLast="0" w:name="_ztocez0b6jw" w:id="19"/>
      <w:bookmarkEnd w:id="19"/>
      <w:r w:rsidDel="00000000" w:rsidR="00000000" w:rsidRPr="00000000">
        <w:rPr>
          <w:rtl w:val="0"/>
        </w:rPr>
        <w:t xml:space="preserve">3. Broaden the understanding of the terms “accessible” and “accessibility” </w:t>
      </w:r>
    </w:p>
    <w:p w:rsidR="00000000" w:rsidDel="00000000" w:rsidP="00000000" w:rsidRDefault="00000000" w:rsidRPr="00000000" w14:paraId="0000007E">
      <w:pPr>
        <w:pStyle w:val="Heading3"/>
        <w:rPr/>
      </w:pPr>
      <w:bookmarkStart w:colFirst="0" w:colLast="0" w:name="_g7xzu0mfht9g" w:id="20"/>
      <w:bookmarkEnd w:id="20"/>
      <w:r w:rsidDel="00000000" w:rsidR="00000000" w:rsidRPr="00000000">
        <w:rPr>
          <w:rtl w:val="0"/>
        </w:rPr>
        <w:t xml:space="preserve">Used in relation to equality and inclusion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There seems to be a severe misconception of the definition of these terms, based on whether you work with accessibility or not. Most people tend to think of the colloquial definition.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q72ttimu80n6" w:id="21"/>
      <w:bookmarkEnd w:id="21"/>
      <w:r w:rsidDel="00000000" w:rsidR="00000000" w:rsidRPr="00000000">
        <w:rPr>
          <w:rtl w:val="0"/>
        </w:rPr>
        <w:t xml:space="preserve">Definition from Merriam-Webster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Taken from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Merriam-Webster.com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Capable of being reached</w:t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Capable of being used or seen</w:t>
      </w:r>
    </w:p>
    <w:p w:rsidR="00000000" w:rsidDel="00000000" w:rsidP="00000000" w:rsidRDefault="00000000" w:rsidRPr="00000000" w14:paraId="0000008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Capable of being understood or appreciated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Capable of being influenced</w:t>
      </w:r>
    </w:p>
    <w:p w:rsidR="00000000" w:rsidDel="00000000" w:rsidP="00000000" w:rsidRDefault="00000000" w:rsidRPr="00000000" w14:paraId="0000008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Adapted for use by people with disabilities</w:t>
      </w:r>
    </w:p>
    <w:p w:rsidR="00000000" w:rsidDel="00000000" w:rsidP="00000000" w:rsidRDefault="00000000" w:rsidRPr="00000000" w14:paraId="00000087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4 are generally how people understand accessibility</w:t>
      </w:r>
    </w:p>
    <w:p w:rsidR="00000000" w:rsidDel="00000000" w:rsidP="00000000" w:rsidRDefault="00000000" w:rsidRPr="00000000" w14:paraId="00000088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These definitions are true, and can be applied within the realm of people with disabilities, but they don’t cover the full meaning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6mn2kc5on2d2" w:id="22"/>
      <w:bookmarkEnd w:id="22"/>
      <w:r w:rsidDel="00000000" w:rsidR="00000000" w:rsidRPr="00000000">
        <w:rPr>
          <w:rtl w:val="0"/>
        </w:rPr>
        <w:t xml:space="preserve">Definition from OCR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Taken from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U.S. Department of Education</w:t>
        </w:r>
      </w:hyperlink>
      <w:r w:rsidDel="00000000" w:rsidR="00000000" w:rsidRPr="00000000">
        <w:rPr>
          <w:rtl w:val="0"/>
        </w:rPr>
        <w:t xml:space="preserve">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“...a person with a disability is afforded the opportunity to acquire the same information, engage in the same interactions, and enjoy the same services as a person without a disability in an equally effective and equally integrated manner, with substantially equivalent ease of use.”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A person with a disability and a person without a disability can have the same or similar experiences in the same or similar way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r7lk3lp8rf81" w:id="23"/>
      <w:bookmarkEnd w:id="23"/>
      <w:r w:rsidDel="00000000" w:rsidR="00000000" w:rsidRPr="00000000">
        <w:rPr>
          <w:rtl w:val="0"/>
        </w:rPr>
        <w:t xml:space="preserve">Oswego’s interpretation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Proactively</w:t>
      </w:r>
      <w:r w:rsidDel="00000000" w:rsidR="00000000" w:rsidRPr="00000000">
        <w:rPr>
          <w:rtl w:val="0"/>
        </w:rPr>
        <w:t xml:space="preserve"> create content that is flexible enough to be used by a wide range of people from the outset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different audience needs and different use cases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barriers to communication and learning for people with permanent, temporary, or situational disabilities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Preserve a person’s right to privacy</w:t>
      </w:r>
    </w:p>
    <w:p w:rsidR="00000000" w:rsidDel="00000000" w:rsidP="00000000" w:rsidRDefault="00000000" w:rsidRPr="00000000" w14:paraId="00000092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everyone wants to share that they have a disability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zdjirfxp9vhq" w:id="24"/>
      <w:bookmarkEnd w:id="24"/>
      <w:r w:rsidDel="00000000" w:rsidR="00000000" w:rsidRPr="00000000">
        <w:rPr>
          <w:rtl w:val="0"/>
        </w:rPr>
        <w:t xml:space="preserve">How to advocate for a better understanding of accessibility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Sneak it into unexpected places</w:t>
      </w:r>
    </w:p>
    <w:p w:rsidR="00000000" w:rsidDel="00000000" w:rsidP="00000000" w:rsidRDefault="00000000" w:rsidRPr="00000000" w14:paraId="0000009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Generally, people who need this information are not aware they do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it automatically part of workshops, orientations, course developments, etc.</w:t>
      </w:r>
    </w:p>
    <w:p w:rsidR="00000000" w:rsidDel="00000000" w:rsidP="00000000" w:rsidRDefault="00000000" w:rsidRPr="00000000" w14:paraId="0000009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not be treated as an add-on or afterthought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step-by-step information</w:t>
      </w:r>
    </w:p>
    <w:p w:rsidR="00000000" w:rsidDel="00000000" w:rsidP="00000000" w:rsidRDefault="00000000" w:rsidRPr="00000000" w14:paraId="0000009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tutorials, checklists, and other resources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direct, clear, and explicit</w:t>
      </w:r>
    </w:p>
    <w:p w:rsidR="00000000" w:rsidDel="00000000" w:rsidP="00000000" w:rsidRDefault="00000000" w:rsidRPr="00000000" w14:paraId="0000009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not beat around the bush - it won’t work</w:t>
      </w:r>
    </w:p>
    <w:p w:rsidR="00000000" w:rsidDel="00000000" w:rsidP="00000000" w:rsidRDefault="00000000" w:rsidRPr="00000000" w14:paraId="0000009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Don’t just say that people should improve the accessibility of their materials; tell them why and give them resources that tell them how</w:t>
      </w:r>
    </w:p>
    <w:p w:rsidR="00000000" w:rsidDel="00000000" w:rsidP="00000000" w:rsidRDefault="00000000" w:rsidRPr="00000000" w14:paraId="0000009D">
      <w:pPr>
        <w:pStyle w:val="Heading2"/>
        <w:rPr>
          <w:b w:val="1"/>
        </w:rPr>
      </w:pPr>
      <w:bookmarkStart w:colFirst="0" w:colLast="0" w:name="_epjvep4393ol" w:id="25"/>
      <w:bookmarkEnd w:id="25"/>
      <w:r w:rsidDel="00000000" w:rsidR="00000000" w:rsidRPr="00000000">
        <w:rPr>
          <w:b w:val="1"/>
          <w:rtl w:val="0"/>
        </w:rPr>
        <w:t xml:space="preserve">What is the cost of not changing?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This is the most important question an organization can ask itself.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274e1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274e1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ed.gov/about/offices/list/ocr/docs/investigations/11116002-b.html#:~:text=%E2%80%9CAccessible%E2%80%9D%20means%20a%20person%20with,substantially%20equivalent%20ease%20of%20use." TargetMode="External"/><Relationship Id="rId5" Type="http://schemas.openxmlformats.org/officeDocument/2006/relationships/styles" Target="styles.xml"/><Relationship Id="rId6" Type="http://schemas.openxmlformats.org/officeDocument/2006/relationships/hyperlink" Target="mailto:kathleen.percival@oswego.edu" TargetMode="External"/><Relationship Id="rId7" Type="http://schemas.openxmlformats.org/officeDocument/2006/relationships/hyperlink" Target="https://ww1.oswego.edu/accessibility/" TargetMode="External"/><Relationship Id="rId8" Type="http://schemas.openxmlformats.org/officeDocument/2006/relationships/hyperlink" Target="https://www.merriam-webster.com/dictionary/acces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