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AB59" w14:textId="42C33B0F" w:rsidR="00E8468E" w:rsidRPr="00284FFE" w:rsidRDefault="004D004A">
      <w:pPr>
        <w:rPr>
          <w:b/>
          <w:sz w:val="32"/>
        </w:rPr>
      </w:pPr>
      <w:r>
        <w:rPr>
          <w:noProof/>
        </w:rPr>
        <w:drawing>
          <wp:inline distT="0" distB="0" distL="0" distR="0" wp14:anchorId="276D3EE7" wp14:editId="56BD7EC5">
            <wp:extent cx="6858000" cy="158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ibility_studies_650x150_v2.jpg"/>
                    <pic:cNvPicPr/>
                  </pic:nvPicPr>
                  <pic:blipFill>
                    <a:blip r:embed="rId5">
                      <a:extLst>
                        <a:ext uri="{28A0092B-C50C-407E-A947-70E740481C1C}">
                          <a14:useLocalDpi xmlns:a14="http://schemas.microsoft.com/office/drawing/2010/main" val="0"/>
                        </a:ext>
                      </a:extLst>
                    </a:blip>
                    <a:stretch>
                      <a:fillRect/>
                    </a:stretch>
                  </pic:blipFill>
                  <pic:spPr>
                    <a:xfrm>
                      <a:off x="0" y="0"/>
                      <a:ext cx="6858000" cy="1582420"/>
                    </a:xfrm>
                    <a:prstGeom prst="rect">
                      <a:avLst/>
                    </a:prstGeom>
                  </pic:spPr>
                </pic:pic>
              </a:graphicData>
            </a:graphic>
          </wp:inline>
        </w:drawing>
      </w:r>
      <w:hyperlink r:id="rId6" w:history="1">
        <w:r w:rsidR="00284FFE" w:rsidRPr="0038627C">
          <w:rPr>
            <w:rStyle w:val="Hyperlink"/>
          </w:rPr>
          <w:t>www.cwu.edu/</w:t>
        </w:r>
        <w:r w:rsidR="00284FFE" w:rsidRPr="0038627C">
          <w:rPr>
            <w:rStyle w:val="Hyperlink"/>
            <w:b/>
            <w:sz w:val="32"/>
          </w:rPr>
          <w:t>Accessibility-Studies</w:t>
        </w:r>
      </w:hyperlink>
      <w:r w:rsidR="00284FFE">
        <w:rPr>
          <w:b/>
          <w:color w:val="C00000"/>
          <w:sz w:val="32"/>
        </w:rPr>
        <w:t xml:space="preserve"> </w:t>
      </w:r>
      <w:r w:rsidR="00284FFE">
        <w:tab/>
      </w:r>
      <w:r w:rsidR="00284FFE">
        <w:tab/>
      </w:r>
      <w:r w:rsidR="00284FFE">
        <w:tab/>
      </w:r>
      <w:r w:rsidR="00284FFE">
        <w:tab/>
      </w:r>
      <w:r w:rsidR="00E8468E" w:rsidRPr="00284FFE">
        <w:rPr>
          <w:b/>
          <w:sz w:val="32"/>
        </w:rPr>
        <w:t xml:space="preserve">Online </w:t>
      </w:r>
      <w:r w:rsidR="00284FFE" w:rsidRPr="00284FFE">
        <w:rPr>
          <w:b/>
          <w:sz w:val="32"/>
        </w:rPr>
        <w:t>Certificate</w:t>
      </w:r>
      <w:r w:rsidR="00284FFE">
        <w:rPr>
          <w:b/>
          <w:sz w:val="32"/>
        </w:rPr>
        <w:t xml:space="preserve"> or </w:t>
      </w:r>
      <w:r w:rsidR="00284FFE" w:rsidRPr="00284FFE">
        <w:rPr>
          <w:b/>
          <w:sz w:val="32"/>
        </w:rPr>
        <w:t>Minor</w:t>
      </w:r>
      <w:r w:rsidR="00284FFE">
        <w:rPr>
          <w:b/>
          <w:sz w:val="32"/>
        </w:rPr>
        <w:t xml:space="preserve"> </w:t>
      </w:r>
    </w:p>
    <w:p w14:paraId="3E7A26E6" w14:textId="1DDAB5E0" w:rsidR="00E8468E" w:rsidRPr="00E8468E" w:rsidRDefault="00E8468E">
      <w:pPr>
        <w:rPr>
          <w:b/>
          <w:color w:val="C00000"/>
        </w:rPr>
      </w:pPr>
      <w:r w:rsidRPr="00E8468E">
        <w:rPr>
          <w:b/>
          <w:color w:val="C00000"/>
        </w:rPr>
        <w:t>Program Overview</w:t>
      </w:r>
      <w:r w:rsidR="0091061B">
        <w:rPr>
          <w:b/>
          <w:color w:val="C00000"/>
        </w:rPr>
        <w:t xml:space="preserve"> </w:t>
      </w:r>
    </w:p>
    <w:p w14:paraId="77E88876" w14:textId="3B4F2EE0" w:rsidR="00284FFE" w:rsidRDefault="002F65F0" w:rsidP="000861D6">
      <w:pPr>
        <w:shd w:val="clear" w:color="auto" w:fill="FFFFFF"/>
        <w:spacing w:after="120"/>
        <w:textAlignment w:val="baseline"/>
        <w:rPr>
          <w:rFonts w:eastAsia="Times New Roman" w:cs="Arial"/>
          <w:color w:val="000000"/>
        </w:rPr>
      </w:pPr>
      <w:r w:rsidRPr="0026225B">
        <w:rPr>
          <w:rFonts w:eastAsia="Times New Roman" w:cs="Arial"/>
          <w:color w:val="000000"/>
        </w:rPr>
        <w:t xml:space="preserve">A certificate or minor in Accessibility Studies demonstrates competence in recognizing where, when, and how to include people with varying degrees of ability. </w:t>
      </w:r>
      <w:r>
        <w:rPr>
          <w:rFonts w:ascii="Times New Roman" w:eastAsia="Times New Roman" w:hAnsi="Times New Roman" w:cs="Times New Roman"/>
          <w:i/>
          <w:color w:val="000000"/>
          <w:sz w:val="36"/>
        </w:rPr>
        <w:t xml:space="preserve"> </w:t>
      </w:r>
      <w:r w:rsidR="00284FFE">
        <w:rPr>
          <w:rFonts w:eastAsia="Times New Roman" w:cs="Arial"/>
          <w:color w:val="000000"/>
        </w:rPr>
        <w:t xml:space="preserve">Because our laws </w:t>
      </w:r>
      <w:r w:rsidRPr="0026225B">
        <w:rPr>
          <w:rFonts w:eastAsia="Times New Roman" w:cs="Arial"/>
          <w:color w:val="000000"/>
        </w:rPr>
        <w:t>guarantee access to activities of independent living in all environments - work, home, school, shopping, medical, leisure, and virtual</w:t>
      </w:r>
      <w:r w:rsidR="00284FFE">
        <w:rPr>
          <w:rFonts w:eastAsia="Times New Roman" w:cs="Arial"/>
          <w:color w:val="000000"/>
        </w:rPr>
        <w:t xml:space="preserve"> – this program adds value to all careers.</w:t>
      </w:r>
    </w:p>
    <w:p w14:paraId="0CB38787" w14:textId="7A62EE3C" w:rsidR="00E8468E" w:rsidRPr="00284FFE" w:rsidRDefault="002F65F0" w:rsidP="00284FFE">
      <w:pPr>
        <w:shd w:val="clear" w:color="auto" w:fill="FFFFFF"/>
        <w:spacing w:after="120"/>
        <w:textAlignment w:val="baseline"/>
        <w:rPr>
          <w:rFonts w:eastAsia="Times New Roman" w:cs="Arial"/>
          <w:color w:val="000000"/>
        </w:rPr>
      </w:pPr>
      <w:r w:rsidRPr="0026225B">
        <w:rPr>
          <w:rFonts w:eastAsia="Times New Roman" w:cs="Times New Roman"/>
          <w:color w:val="000000"/>
        </w:rPr>
        <w:t>The four core courses constitute the 15</w:t>
      </w:r>
      <w:r>
        <w:rPr>
          <w:rFonts w:eastAsia="Times New Roman" w:cs="Times New Roman"/>
          <w:color w:val="000000"/>
        </w:rPr>
        <w:t>-</w:t>
      </w:r>
      <w:r w:rsidRPr="0026225B">
        <w:rPr>
          <w:rFonts w:eastAsia="Times New Roman" w:cs="Times New Roman"/>
          <w:color w:val="000000"/>
        </w:rPr>
        <w:t xml:space="preserve">credit certificate. </w:t>
      </w:r>
      <w:r>
        <w:rPr>
          <w:rFonts w:eastAsia="Times New Roman" w:cs="Times New Roman"/>
          <w:color w:val="000000"/>
        </w:rPr>
        <w:t xml:space="preserve"> An undergraduate minor is available by adding 5 more credits which can usually be arranged as dual credit with a class in the major.</w:t>
      </w:r>
      <w:r w:rsidR="000861D6">
        <w:rPr>
          <w:rFonts w:eastAsia="Times New Roman" w:cs="Arial"/>
          <w:color w:val="000000"/>
        </w:rPr>
        <w:t xml:space="preserve"> </w:t>
      </w:r>
    </w:p>
    <w:p w14:paraId="5E630EDF" w14:textId="77777777" w:rsidR="00E8468E" w:rsidRPr="00D81874" w:rsidRDefault="00E8468E">
      <w:pPr>
        <w:rPr>
          <w:b/>
          <w:color w:val="C00000"/>
          <w:sz w:val="24"/>
        </w:rPr>
      </w:pPr>
      <w:r w:rsidRPr="00D81874">
        <w:rPr>
          <w:b/>
          <w:color w:val="C00000"/>
          <w:sz w:val="24"/>
        </w:rPr>
        <w:t>Program Requirements</w:t>
      </w:r>
    </w:p>
    <w:p w14:paraId="193E7022" w14:textId="77777777" w:rsidR="00E8468E" w:rsidRDefault="00E8468E" w:rsidP="00E8468E">
      <w:pPr>
        <w:pStyle w:val="ListParagraph"/>
        <w:numPr>
          <w:ilvl w:val="0"/>
          <w:numId w:val="1"/>
        </w:numPr>
      </w:pPr>
      <w:r w:rsidRPr="00E8468E">
        <w:rPr>
          <w:b/>
          <w:color w:val="2E74B5" w:themeColor="accent5" w:themeShade="BF"/>
        </w:rPr>
        <w:t>Prerequisite Courses</w:t>
      </w:r>
      <w:r>
        <w:t>: There are no prerequisites for the first course, ASP 305.</w:t>
      </w:r>
    </w:p>
    <w:p w14:paraId="0B608A24" w14:textId="14D6A72C" w:rsidR="00E8468E" w:rsidRPr="00612DA2" w:rsidRDefault="00E8468E" w:rsidP="00E8468E">
      <w:pPr>
        <w:pStyle w:val="ListParagraph"/>
        <w:numPr>
          <w:ilvl w:val="0"/>
          <w:numId w:val="1"/>
        </w:numPr>
        <w:rPr>
          <w:b/>
        </w:rPr>
      </w:pPr>
      <w:r w:rsidRPr="00D81874">
        <w:rPr>
          <w:b/>
          <w:color w:val="2E74B5" w:themeColor="accent5" w:themeShade="BF"/>
        </w:rPr>
        <w:t>Required Courses</w:t>
      </w:r>
      <w:proofErr w:type="gramStart"/>
      <w:r w:rsidRPr="00D81874">
        <w:rPr>
          <w:b/>
          <w:color w:val="2E74B5" w:themeColor="accent5" w:themeShade="BF"/>
        </w:rPr>
        <w:t xml:space="preserve">:  </w:t>
      </w:r>
      <w:r w:rsidR="00612DA2" w:rsidRPr="00612DA2">
        <w:rPr>
          <w:b/>
        </w:rPr>
        <w:t>(</w:t>
      </w:r>
      <w:proofErr w:type="gramEnd"/>
      <w:r w:rsidR="00612DA2" w:rsidRPr="00612DA2">
        <w:rPr>
          <w:b/>
        </w:rPr>
        <w:t xml:space="preserve">Complete </w:t>
      </w:r>
      <w:r w:rsidR="00612DA2">
        <w:rPr>
          <w:b/>
        </w:rPr>
        <w:t xml:space="preserve">Accessibility Studies </w:t>
      </w:r>
      <w:r w:rsidR="00612DA2" w:rsidRPr="00612DA2">
        <w:rPr>
          <w:b/>
        </w:rPr>
        <w:t>Certificate)</w:t>
      </w:r>
    </w:p>
    <w:p w14:paraId="11A04CFD" w14:textId="0E40265A" w:rsidR="00E8468E" w:rsidRDefault="00E8468E" w:rsidP="002F65F0">
      <w:pPr>
        <w:ind w:left="1440"/>
      </w:pPr>
      <w:r>
        <w:t>ASP 305 Accessibility &amp; User Experience ………………………………</w:t>
      </w:r>
      <w:proofErr w:type="gramStart"/>
      <w:r>
        <w:t>…..</w:t>
      </w:r>
      <w:proofErr w:type="gramEnd"/>
      <w:r>
        <w:t xml:space="preserve"> </w:t>
      </w:r>
      <w:r w:rsidR="0091061B">
        <w:t>4</w:t>
      </w:r>
    </w:p>
    <w:p w14:paraId="4DB64B71" w14:textId="77777777" w:rsidR="00E8468E" w:rsidRDefault="00E8468E" w:rsidP="002F65F0">
      <w:pPr>
        <w:ind w:left="1440"/>
      </w:pPr>
      <w:r>
        <w:t>ASP 325 Universal Design …………………………………………………………. 4</w:t>
      </w:r>
    </w:p>
    <w:p w14:paraId="65791D78" w14:textId="77777777" w:rsidR="00E8468E" w:rsidRDefault="00E8468E" w:rsidP="002F65F0">
      <w:pPr>
        <w:ind w:left="1440"/>
      </w:pPr>
      <w:r>
        <w:t>ASP 435 Accessible Information Design ……………………………………. 5</w:t>
      </w:r>
    </w:p>
    <w:p w14:paraId="726C6240" w14:textId="35BDE37D" w:rsidR="00E8468E" w:rsidRDefault="00E8468E" w:rsidP="00D81874">
      <w:pPr>
        <w:ind w:left="1440"/>
      </w:pPr>
      <w:r>
        <w:t>ASP 485 Accessibilit</w:t>
      </w:r>
      <w:r w:rsidR="00612DA2">
        <w:t xml:space="preserve">y Capstone ………………………………………………… </w:t>
      </w:r>
      <w:r w:rsidR="0091061B">
        <w:t>2-</w:t>
      </w:r>
      <w:r w:rsidR="00D81874">
        <w:t>3</w:t>
      </w:r>
    </w:p>
    <w:p w14:paraId="43023367" w14:textId="740202B9" w:rsidR="00E8468E" w:rsidRDefault="00E8468E" w:rsidP="00E8468E">
      <w:pPr>
        <w:pStyle w:val="ListParagraph"/>
        <w:numPr>
          <w:ilvl w:val="0"/>
          <w:numId w:val="1"/>
        </w:numPr>
      </w:pPr>
      <w:r w:rsidRPr="00D81874">
        <w:rPr>
          <w:b/>
          <w:color w:val="2E74B5" w:themeColor="accent5" w:themeShade="BF"/>
        </w:rPr>
        <w:t>Minor Requirements:</w:t>
      </w:r>
      <w:r w:rsidRPr="00D81874">
        <w:rPr>
          <w:color w:val="2E74B5" w:themeColor="accent5" w:themeShade="BF"/>
        </w:rPr>
        <w:t xml:space="preserve"> </w:t>
      </w:r>
      <w:r w:rsidR="00C76F24">
        <w:t xml:space="preserve">In addition to the </w:t>
      </w:r>
      <w:r>
        <w:t xml:space="preserve">certificate core, a minor requires 5 elective credits. Courses in the major may be proposed for dual credit consideration. </w:t>
      </w:r>
    </w:p>
    <w:p w14:paraId="467ABD86" w14:textId="77777777" w:rsidR="00E8468E" w:rsidRDefault="002F65F0" w:rsidP="00E8468E">
      <w:pPr>
        <w:pStyle w:val="ListParagraph"/>
      </w:pPr>
      <w:r>
        <w:t>The Practicum and Internship experiences are arranged individually.</w:t>
      </w:r>
    </w:p>
    <w:p w14:paraId="6DC5A5FA" w14:textId="77777777" w:rsidR="002F65F0" w:rsidRDefault="002F65F0" w:rsidP="002F65F0">
      <w:pPr>
        <w:pStyle w:val="ListParagraph"/>
        <w:ind w:left="1440"/>
      </w:pPr>
      <w:r>
        <w:t>ASP 490 Accessibility Practicum …………………………………………………… 1-12</w:t>
      </w:r>
    </w:p>
    <w:p w14:paraId="527D6207" w14:textId="77777777" w:rsidR="002F65F0" w:rsidRDefault="002F65F0" w:rsidP="002F65F0">
      <w:pPr>
        <w:pStyle w:val="ListParagraph"/>
        <w:ind w:left="1440"/>
      </w:pPr>
      <w:r>
        <w:t>ASP 492 Accessibility internship …………………………………………………… 1-12</w:t>
      </w:r>
    </w:p>
    <w:p w14:paraId="2F268A46" w14:textId="77777777" w:rsidR="002F65F0" w:rsidRDefault="002F65F0" w:rsidP="00E8468E">
      <w:pPr>
        <w:pStyle w:val="ListParagraph"/>
      </w:pPr>
      <w:r>
        <w:t>Other elective courses may be offered:</w:t>
      </w:r>
    </w:p>
    <w:p w14:paraId="74937033" w14:textId="77777777" w:rsidR="002F65F0" w:rsidRDefault="002F65F0" w:rsidP="002F65F0">
      <w:pPr>
        <w:pStyle w:val="ListParagraph"/>
        <w:ind w:left="1440"/>
      </w:pPr>
      <w:r>
        <w:t>ASP 365 Assistive Technology: Tactile Graphics ……………………………. 3</w:t>
      </w:r>
    </w:p>
    <w:p w14:paraId="57444D63" w14:textId="77777777" w:rsidR="002F65F0" w:rsidRDefault="002F65F0" w:rsidP="002F65F0">
      <w:pPr>
        <w:pStyle w:val="ListParagraph"/>
        <w:ind w:left="1440"/>
      </w:pPr>
      <w:r>
        <w:t>ASP 498 Special Topics in Accessibility ………………………………………</w:t>
      </w:r>
      <w:proofErr w:type="gramStart"/>
      <w:r>
        <w:t>…..</w:t>
      </w:r>
      <w:proofErr w:type="gramEnd"/>
      <w:r>
        <w:t xml:space="preserve"> 3-5</w:t>
      </w:r>
    </w:p>
    <w:p w14:paraId="405A6CF5" w14:textId="77777777" w:rsidR="00284FFE" w:rsidRPr="00284FFE" w:rsidRDefault="00284FFE" w:rsidP="00284FFE">
      <w:pPr>
        <w:shd w:val="clear" w:color="auto" w:fill="FFFFFF"/>
        <w:spacing w:after="120"/>
        <w:textAlignment w:val="baseline"/>
        <w:rPr>
          <w:rFonts w:eastAsia="Times New Roman" w:cs="Arial"/>
          <w:b/>
          <w:i/>
          <w:color w:val="000000"/>
          <w:sz w:val="36"/>
        </w:rPr>
      </w:pPr>
      <w:r w:rsidRPr="00284FFE">
        <w:rPr>
          <w:rFonts w:eastAsia="Times New Roman" w:cs="Times New Roman"/>
          <w:b/>
          <w:i/>
          <w:color w:val="000000"/>
          <w:sz w:val="36"/>
        </w:rPr>
        <w:t xml:space="preserve">Complete the certificate in one summer session or over one school year! </w:t>
      </w:r>
    </w:p>
    <w:tbl>
      <w:tblPr>
        <w:tblStyle w:val="TableGrid"/>
        <w:tblW w:w="0" w:type="auto"/>
        <w:jc w:val="center"/>
        <w:tblLayout w:type="fixed"/>
        <w:tblLook w:val="04A0" w:firstRow="1" w:lastRow="0" w:firstColumn="1" w:lastColumn="0" w:noHBand="0" w:noVBand="1"/>
      </w:tblPr>
      <w:tblGrid>
        <w:gridCol w:w="3773"/>
        <w:gridCol w:w="990"/>
        <w:gridCol w:w="991"/>
        <w:gridCol w:w="990"/>
        <w:gridCol w:w="991"/>
      </w:tblGrid>
      <w:tr w:rsidR="00284FFE" w14:paraId="4DB010A2" w14:textId="77777777" w:rsidTr="00B32AAB">
        <w:trPr>
          <w:jc w:val="center"/>
        </w:trPr>
        <w:tc>
          <w:tcPr>
            <w:tcW w:w="3773" w:type="dxa"/>
          </w:tcPr>
          <w:p w14:paraId="6812C1E7" w14:textId="77777777" w:rsidR="00284FFE" w:rsidRPr="002F65F0" w:rsidRDefault="00284FFE" w:rsidP="00284FFE">
            <w:pPr>
              <w:jc w:val="center"/>
              <w:rPr>
                <w:b/>
              </w:rPr>
            </w:pPr>
            <w:r w:rsidRPr="002F65F0">
              <w:rPr>
                <w:b/>
              </w:rPr>
              <w:t>Course</w:t>
            </w:r>
          </w:p>
        </w:tc>
        <w:tc>
          <w:tcPr>
            <w:tcW w:w="990" w:type="dxa"/>
          </w:tcPr>
          <w:p w14:paraId="32A59F06" w14:textId="77777777" w:rsidR="00284FFE" w:rsidRPr="002F65F0" w:rsidRDefault="00284FFE" w:rsidP="00284FFE">
            <w:pPr>
              <w:jc w:val="center"/>
              <w:rPr>
                <w:b/>
              </w:rPr>
            </w:pPr>
            <w:r w:rsidRPr="002F65F0">
              <w:rPr>
                <w:b/>
              </w:rPr>
              <w:t>Summer</w:t>
            </w:r>
          </w:p>
        </w:tc>
        <w:tc>
          <w:tcPr>
            <w:tcW w:w="991" w:type="dxa"/>
          </w:tcPr>
          <w:p w14:paraId="16D2766F" w14:textId="77777777" w:rsidR="00284FFE" w:rsidRPr="002F65F0" w:rsidRDefault="00284FFE" w:rsidP="00284FFE">
            <w:pPr>
              <w:jc w:val="center"/>
              <w:rPr>
                <w:b/>
              </w:rPr>
            </w:pPr>
            <w:r w:rsidRPr="002F65F0">
              <w:rPr>
                <w:b/>
              </w:rPr>
              <w:t>Fall</w:t>
            </w:r>
          </w:p>
        </w:tc>
        <w:tc>
          <w:tcPr>
            <w:tcW w:w="990" w:type="dxa"/>
          </w:tcPr>
          <w:p w14:paraId="23163E38" w14:textId="77777777" w:rsidR="00284FFE" w:rsidRPr="002F65F0" w:rsidRDefault="00284FFE" w:rsidP="00284FFE">
            <w:pPr>
              <w:jc w:val="center"/>
              <w:rPr>
                <w:b/>
              </w:rPr>
            </w:pPr>
            <w:r w:rsidRPr="002F65F0">
              <w:rPr>
                <w:b/>
              </w:rPr>
              <w:t>Winter</w:t>
            </w:r>
          </w:p>
        </w:tc>
        <w:tc>
          <w:tcPr>
            <w:tcW w:w="991" w:type="dxa"/>
          </w:tcPr>
          <w:p w14:paraId="275D9F2C" w14:textId="77777777" w:rsidR="00284FFE" w:rsidRPr="002F65F0" w:rsidRDefault="00284FFE" w:rsidP="00284FFE">
            <w:pPr>
              <w:jc w:val="center"/>
              <w:rPr>
                <w:b/>
              </w:rPr>
            </w:pPr>
            <w:r w:rsidRPr="002F65F0">
              <w:rPr>
                <w:b/>
              </w:rPr>
              <w:t>Spring</w:t>
            </w:r>
          </w:p>
        </w:tc>
      </w:tr>
      <w:tr w:rsidR="00284FFE" w14:paraId="5104B6A7" w14:textId="77777777" w:rsidTr="00B32AAB">
        <w:trPr>
          <w:jc w:val="center"/>
        </w:trPr>
        <w:tc>
          <w:tcPr>
            <w:tcW w:w="3773" w:type="dxa"/>
          </w:tcPr>
          <w:p w14:paraId="767AF2C9" w14:textId="77777777" w:rsidR="00284FFE" w:rsidRDefault="00284FFE" w:rsidP="00687AD0">
            <w:r>
              <w:t>ASP 305 Accessibility &amp; User Experience</w:t>
            </w:r>
          </w:p>
        </w:tc>
        <w:tc>
          <w:tcPr>
            <w:tcW w:w="990" w:type="dxa"/>
          </w:tcPr>
          <w:p w14:paraId="65C10459" w14:textId="77777777" w:rsidR="00284FFE" w:rsidRDefault="00284FFE" w:rsidP="00284FFE">
            <w:pPr>
              <w:jc w:val="center"/>
            </w:pPr>
            <w:r>
              <w:t>X</w:t>
            </w:r>
          </w:p>
        </w:tc>
        <w:tc>
          <w:tcPr>
            <w:tcW w:w="991" w:type="dxa"/>
          </w:tcPr>
          <w:p w14:paraId="38D0C9F0" w14:textId="77777777" w:rsidR="00284FFE" w:rsidRDefault="00284FFE" w:rsidP="00284FFE">
            <w:pPr>
              <w:jc w:val="center"/>
            </w:pPr>
            <w:r>
              <w:t>X</w:t>
            </w:r>
          </w:p>
        </w:tc>
        <w:tc>
          <w:tcPr>
            <w:tcW w:w="990" w:type="dxa"/>
          </w:tcPr>
          <w:p w14:paraId="3CDFBC7A" w14:textId="77777777" w:rsidR="00284FFE" w:rsidRDefault="00284FFE" w:rsidP="00284FFE">
            <w:pPr>
              <w:jc w:val="center"/>
            </w:pPr>
            <w:r>
              <w:t>X</w:t>
            </w:r>
          </w:p>
        </w:tc>
        <w:tc>
          <w:tcPr>
            <w:tcW w:w="991" w:type="dxa"/>
          </w:tcPr>
          <w:p w14:paraId="6E4E6850" w14:textId="77777777" w:rsidR="00284FFE" w:rsidRDefault="00284FFE" w:rsidP="00284FFE">
            <w:pPr>
              <w:jc w:val="center"/>
            </w:pPr>
            <w:r>
              <w:t>X</w:t>
            </w:r>
          </w:p>
        </w:tc>
      </w:tr>
      <w:tr w:rsidR="00284FFE" w14:paraId="4F5D97A8" w14:textId="77777777" w:rsidTr="00B32AAB">
        <w:trPr>
          <w:jc w:val="center"/>
        </w:trPr>
        <w:tc>
          <w:tcPr>
            <w:tcW w:w="3773" w:type="dxa"/>
          </w:tcPr>
          <w:p w14:paraId="3CE00C98" w14:textId="77777777" w:rsidR="00284FFE" w:rsidRDefault="00284FFE" w:rsidP="00687AD0">
            <w:r>
              <w:t>ASP 325 Universal Design</w:t>
            </w:r>
          </w:p>
        </w:tc>
        <w:tc>
          <w:tcPr>
            <w:tcW w:w="990" w:type="dxa"/>
          </w:tcPr>
          <w:p w14:paraId="7A4FFA95" w14:textId="77777777" w:rsidR="00284FFE" w:rsidRDefault="00284FFE" w:rsidP="00284FFE">
            <w:pPr>
              <w:jc w:val="center"/>
            </w:pPr>
            <w:r>
              <w:t>X</w:t>
            </w:r>
          </w:p>
        </w:tc>
        <w:tc>
          <w:tcPr>
            <w:tcW w:w="991" w:type="dxa"/>
          </w:tcPr>
          <w:p w14:paraId="694D1E63" w14:textId="6FDE1C7F" w:rsidR="00284FFE" w:rsidRDefault="00284FFE" w:rsidP="00284FFE">
            <w:pPr>
              <w:jc w:val="center"/>
            </w:pPr>
          </w:p>
        </w:tc>
        <w:tc>
          <w:tcPr>
            <w:tcW w:w="990" w:type="dxa"/>
          </w:tcPr>
          <w:p w14:paraId="4E93AA55" w14:textId="2E859D26" w:rsidR="00284FFE" w:rsidRDefault="0091061B" w:rsidP="00284FFE">
            <w:pPr>
              <w:jc w:val="center"/>
            </w:pPr>
            <w:r>
              <w:t>X</w:t>
            </w:r>
          </w:p>
        </w:tc>
        <w:tc>
          <w:tcPr>
            <w:tcW w:w="991" w:type="dxa"/>
          </w:tcPr>
          <w:p w14:paraId="11FA6E13" w14:textId="77777777" w:rsidR="00284FFE" w:rsidRDefault="00284FFE" w:rsidP="00284FFE">
            <w:pPr>
              <w:jc w:val="center"/>
            </w:pPr>
          </w:p>
        </w:tc>
      </w:tr>
      <w:tr w:rsidR="00284FFE" w14:paraId="794DBFBB" w14:textId="77777777" w:rsidTr="00B32AAB">
        <w:trPr>
          <w:jc w:val="center"/>
        </w:trPr>
        <w:tc>
          <w:tcPr>
            <w:tcW w:w="3773" w:type="dxa"/>
          </w:tcPr>
          <w:p w14:paraId="548FF02E" w14:textId="77777777" w:rsidR="00284FFE" w:rsidRDefault="00284FFE" w:rsidP="00687AD0">
            <w:r>
              <w:t>ASP 435 Accessible Information Design</w:t>
            </w:r>
          </w:p>
        </w:tc>
        <w:tc>
          <w:tcPr>
            <w:tcW w:w="990" w:type="dxa"/>
          </w:tcPr>
          <w:p w14:paraId="30FE00FC" w14:textId="77777777" w:rsidR="00284FFE" w:rsidRDefault="00284FFE" w:rsidP="00284FFE">
            <w:pPr>
              <w:jc w:val="center"/>
            </w:pPr>
            <w:r>
              <w:t>X</w:t>
            </w:r>
          </w:p>
        </w:tc>
        <w:tc>
          <w:tcPr>
            <w:tcW w:w="991" w:type="dxa"/>
          </w:tcPr>
          <w:p w14:paraId="1B788915" w14:textId="77777777" w:rsidR="00284FFE" w:rsidRDefault="00284FFE" w:rsidP="00284FFE">
            <w:pPr>
              <w:jc w:val="center"/>
            </w:pPr>
          </w:p>
        </w:tc>
        <w:tc>
          <w:tcPr>
            <w:tcW w:w="990" w:type="dxa"/>
          </w:tcPr>
          <w:p w14:paraId="7A2FB3AE" w14:textId="1B6E3057" w:rsidR="00284FFE" w:rsidRDefault="00284FFE" w:rsidP="00284FFE">
            <w:pPr>
              <w:jc w:val="center"/>
            </w:pPr>
          </w:p>
        </w:tc>
        <w:tc>
          <w:tcPr>
            <w:tcW w:w="991" w:type="dxa"/>
          </w:tcPr>
          <w:p w14:paraId="130D1E3D" w14:textId="69428173" w:rsidR="00284FFE" w:rsidRDefault="0091061B" w:rsidP="00284FFE">
            <w:pPr>
              <w:jc w:val="center"/>
            </w:pPr>
            <w:r>
              <w:t>X</w:t>
            </w:r>
          </w:p>
        </w:tc>
      </w:tr>
      <w:tr w:rsidR="00B32AAB" w14:paraId="541D17E2" w14:textId="5EEC5F3B" w:rsidTr="00B32AAB">
        <w:trPr>
          <w:jc w:val="center"/>
        </w:trPr>
        <w:tc>
          <w:tcPr>
            <w:tcW w:w="3773" w:type="dxa"/>
          </w:tcPr>
          <w:p w14:paraId="36C16444" w14:textId="77777777" w:rsidR="00B32AAB" w:rsidRDefault="00B32AAB" w:rsidP="00687AD0">
            <w:r>
              <w:t>ASP 485 Accessibility Capstone</w:t>
            </w:r>
          </w:p>
        </w:tc>
        <w:tc>
          <w:tcPr>
            <w:tcW w:w="990" w:type="dxa"/>
          </w:tcPr>
          <w:p w14:paraId="3E90CD34" w14:textId="7D6F6B8A" w:rsidR="00B32AAB" w:rsidRDefault="00B32AAB" w:rsidP="00B32AAB">
            <w:pPr>
              <w:jc w:val="center"/>
            </w:pPr>
            <w:r>
              <w:t>X</w:t>
            </w:r>
          </w:p>
        </w:tc>
        <w:tc>
          <w:tcPr>
            <w:tcW w:w="991" w:type="dxa"/>
          </w:tcPr>
          <w:p w14:paraId="12314CD2" w14:textId="240F81A4" w:rsidR="00B32AAB" w:rsidRDefault="00B32AAB" w:rsidP="00B32AAB">
            <w:pPr>
              <w:jc w:val="center"/>
            </w:pPr>
          </w:p>
        </w:tc>
        <w:tc>
          <w:tcPr>
            <w:tcW w:w="990" w:type="dxa"/>
          </w:tcPr>
          <w:p w14:paraId="1C09AF6D" w14:textId="3B39661F" w:rsidR="00B32AAB" w:rsidRDefault="00B32AAB" w:rsidP="00284FFE">
            <w:pPr>
              <w:jc w:val="center"/>
            </w:pPr>
            <w:r>
              <w:t xml:space="preserve"> </w:t>
            </w:r>
          </w:p>
        </w:tc>
        <w:tc>
          <w:tcPr>
            <w:tcW w:w="991" w:type="dxa"/>
          </w:tcPr>
          <w:p w14:paraId="2D0E337C" w14:textId="367D96ED" w:rsidR="00B32AAB" w:rsidRDefault="00B32AAB" w:rsidP="00284FFE">
            <w:pPr>
              <w:jc w:val="center"/>
            </w:pPr>
            <w:r>
              <w:t>X</w:t>
            </w:r>
          </w:p>
        </w:tc>
      </w:tr>
    </w:tbl>
    <w:p w14:paraId="1BB4B03B" w14:textId="77777777" w:rsidR="00284FFE" w:rsidRDefault="00284FFE" w:rsidP="000861D6">
      <w:pPr>
        <w:pStyle w:val="NormalWeb"/>
        <w:spacing w:before="120" w:beforeAutospacing="0" w:after="0" w:afterAutospacing="0"/>
        <w:textAlignment w:val="baseline"/>
      </w:pPr>
    </w:p>
    <w:p w14:paraId="50E89943" w14:textId="7B2A2AB1" w:rsidR="000861D6" w:rsidRPr="00D27D8F" w:rsidRDefault="000861D6" w:rsidP="000861D6">
      <w:pPr>
        <w:pStyle w:val="NormalWeb"/>
        <w:spacing w:before="120" w:beforeAutospacing="0" w:after="0" w:afterAutospacing="0"/>
        <w:textAlignment w:val="baseline"/>
        <w:rPr>
          <w:rFonts w:asciiTheme="minorHAnsi" w:eastAsia="MS PGothic" w:hAnsiTheme="minorHAnsi" w:cstheme="minorBidi"/>
          <w:kern w:val="24"/>
          <w:sz w:val="22"/>
          <w:szCs w:val="72"/>
        </w:rPr>
      </w:pPr>
      <w:r w:rsidRPr="00284FFE">
        <w:rPr>
          <w:rFonts w:asciiTheme="minorHAnsi" w:hAnsiTheme="minorHAnsi"/>
          <w:b/>
        </w:rPr>
        <w:t>Contact:</w:t>
      </w:r>
      <w:r>
        <w:t xml:space="preserve"> </w:t>
      </w:r>
      <w:r>
        <w:rPr>
          <w:rFonts w:asciiTheme="minorHAnsi" w:eastAsia="MS PGothic" w:hAnsiTheme="minorHAnsi" w:cstheme="minorBidi"/>
          <w:kern w:val="24"/>
          <w:sz w:val="22"/>
          <w:szCs w:val="72"/>
        </w:rPr>
        <w:t xml:space="preserve">Dr. </w:t>
      </w:r>
      <w:r w:rsidRPr="00D27D8F">
        <w:rPr>
          <w:rFonts w:asciiTheme="minorHAnsi" w:eastAsia="MS PGothic" w:hAnsiTheme="minorHAnsi" w:cstheme="minorBidi"/>
          <w:kern w:val="24"/>
          <w:sz w:val="22"/>
          <w:szCs w:val="72"/>
        </w:rPr>
        <w:t xml:space="preserve">Naomi Jeffery Petersen, </w:t>
      </w:r>
      <w:r>
        <w:rPr>
          <w:rFonts w:asciiTheme="minorHAnsi" w:eastAsia="MS PGothic" w:hAnsiTheme="minorHAnsi" w:cstheme="minorBidi"/>
          <w:kern w:val="24"/>
          <w:sz w:val="22"/>
          <w:szCs w:val="72"/>
        </w:rPr>
        <w:t xml:space="preserve">Professor, </w:t>
      </w:r>
      <w:r w:rsidRPr="00D27D8F">
        <w:rPr>
          <w:rFonts w:asciiTheme="minorHAnsi" w:eastAsia="MS PGothic" w:hAnsiTheme="minorHAnsi" w:cstheme="minorBidi"/>
          <w:kern w:val="24"/>
          <w:sz w:val="22"/>
          <w:szCs w:val="72"/>
        </w:rPr>
        <w:t>Dept. of Curriculum, Supervision, &amp; Educational Leadership</w:t>
      </w:r>
    </w:p>
    <w:p w14:paraId="7259A85A" w14:textId="775B2A19" w:rsidR="001D24FF" w:rsidRDefault="00612DA2" w:rsidP="00612DA2">
      <w:pPr>
        <w:pStyle w:val="NormalWeb"/>
        <w:spacing w:before="120" w:beforeAutospacing="0" w:after="0" w:afterAutospacing="0"/>
        <w:textAlignment w:val="baseline"/>
        <w:rPr>
          <w:rFonts w:asciiTheme="minorHAnsi" w:eastAsia="MS PGothic" w:hAnsiTheme="minorHAnsi" w:cstheme="minorBidi"/>
          <w:kern w:val="24"/>
          <w:sz w:val="22"/>
          <w:szCs w:val="72"/>
        </w:rPr>
      </w:pPr>
      <w:r>
        <w:rPr>
          <w:noProof/>
        </w:rPr>
        <w:drawing>
          <wp:anchor distT="0" distB="0" distL="114300" distR="114300" simplePos="0" relativeHeight="251658240" behindDoc="0" locked="0" layoutInCell="1" allowOverlap="1" wp14:anchorId="508E39F0" wp14:editId="5B6AC63D">
            <wp:simplePos x="0" y="0"/>
            <wp:positionH relativeFrom="column">
              <wp:posOffset>5378450</wp:posOffset>
            </wp:positionH>
            <wp:positionV relativeFrom="paragraph">
              <wp:posOffset>96520</wp:posOffset>
            </wp:positionV>
            <wp:extent cx="1384300" cy="4762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a:extLst>
                        <a:ext uri="{28A0092B-C50C-407E-A947-70E740481C1C}">
                          <a14:useLocalDpi xmlns:a14="http://schemas.microsoft.com/office/drawing/2010/main" val="0"/>
                        </a:ext>
                      </a:extLst>
                    </a:blip>
                    <a:srcRect r="66920"/>
                    <a:stretch/>
                  </pic:blipFill>
                  <pic:spPr bwMode="auto">
                    <a:xfrm>
                      <a:off x="0" y="0"/>
                      <a:ext cx="13843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0861D6" w:rsidRPr="0056202F">
          <w:rPr>
            <w:rStyle w:val="Hyperlink"/>
            <w:rFonts w:asciiTheme="minorHAnsi" w:eastAsia="MS PGothic" w:hAnsiTheme="minorHAnsi" w:cstheme="minorBidi"/>
            <w:kern w:val="24"/>
            <w:sz w:val="22"/>
            <w:szCs w:val="72"/>
          </w:rPr>
          <w:t>Naomi.Petersen@CWU.EDU</w:t>
        </w:r>
      </w:hyperlink>
      <w:r w:rsidR="000861D6" w:rsidRPr="00D27D8F">
        <w:rPr>
          <w:rFonts w:asciiTheme="minorHAnsi" w:eastAsia="MS PGothic" w:hAnsiTheme="minorHAnsi" w:cstheme="minorBidi"/>
          <w:kern w:val="24"/>
          <w:sz w:val="22"/>
          <w:szCs w:val="72"/>
        </w:rPr>
        <w:t xml:space="preserve">        </w:t>
      </w:r>
      <w:hyperlink r:id="rId9" w:history="1">
        <w:r w:rsidR="000861D6" w:rsidRPr="00D27D8F">
          <w:rPr>
            <w:rStyle w:val="Hyperlink"/>
            <w:rFonts w:asciiTheme="minorHAnsi" w:eastAsia="MS PGothic" w:hAnsiTheme="minorHAnsi" w:cstheme="minorBidi"/>
            <w:color w:val="auto"/>
            <w:kern w:val="24"/>
            <w:sz w:val="22"/>
            <w:szCs w:val="72"/>
          </w:rPr>
          <w:t>www.CWU.edu\accessibility-studies</w:t>
        </w:r>
      </w:hyperlink>
      <w:proofErr w:type="gramStart"/>
      <w:r w:rsidR="00284FFE">
        <w:rPr>
          <w:rStyle w:val="Hyperlink"/>
          <w:rFonts w:asciiTheme="minorHAnsi" w:eastAsia="MS PGothic" w:hAnsiTheme="minorHAnsi" w:cstheme="minorBidi"/>
          <w:color w:val="auto"/>
          <w:kern w:val="24"/>
          <w:sz w:val="22"/>
          <w:szCs w:val="72"/>
        </w:rPr>
        <w:t xml:space="preserve"> </w:t>
      </w:r>
      <w:r w:rsidR="000861D6" w:rsidRPr="00D27D8F">
        <w:rPr>
          <w:rFonts w:asciiTheme="minorHAnsi" w:eastAsia="MS PGothic" w:hAnsiTheme="minorHAnsi" w:cstheme="minorBidi"/>
          <w:kern w:val="24"/>
          <w:sz w:val="22"/>
          <w:szCs w:val="72"/>
        </w:rPr>
        <w:t xml:space="preserve"> </w:t>
      </w:r>
      <w:r w:rsidR="00284FFE">
        <w:rPr>
          <w:rFonts w:asciiTheme="minorHAnsi" w:eastAsia="MS PGothic" w:hAnsiTheme="minorHAnsi" w:cstheme="minorBidi"/>
          <w:kern w:val="24"/>
          <w:sz w:val="22"/>
          <w:szCs w:val="72"/>
        </w:rPr>
        <w:t xml:space="preserve"> (</w:t>
      </w:r>
      <w:proofErr w:type="gramEnd"/>
      <w:r w:rsidR="00284FFE">
        <w:rPr>
          <w:rFonts w:asciiTheme="minorHAnsi" w:eastAsia="MS PGothic" w:hAnsiTheme="minorHAnsi" w:cstheme="minorBidi"/>
          <w:kern w:val="24"/>
          <w:sz w:val="22"/>
          <w:szCs w:val="72"/>
        </w:rPr>
        <w:t>509) 607-9407</w:t>
      </w:r>
    </w:p>
    <w:p w14:paraId="7F6AE6D5" w14:textId="327695DD" w:rsidR="002D3BA4" w:rsidRDefault="002D3BA4">
      <w:pPr>
        <w:rPr>
          <w:rFonts w:eastAsia="MS PGothic"/>
          <w:kern w:val="24"/>
          <w:szCs w:val="72"/>
        </w:rPr>
      </w:pPr>
      <w:r>
        <w:rPr>
          <w:rFonts w:eastAsia="MS PGothic"/>
          <w:kern w:val="24"/>
          <w:szCs w:val="72"/>
        </w:rPr>
        <w:br w:type="page"/>
      </w:r>
    </w:p>
    <w:p w14:paraId="5AB49304" w14:textId="77777777" w:rsidR="00FC33D5" w:rsidRPr="00720033" w:rsidRDefault="00FC33D5" w:rsidP="5FDF7AD1">
      <w:pPr>
        <w:rPr>
          <w:b/>
          <w:bCs/>
          <w:sz w:val="28"/>
          <w:szCs w:val="20"/>
        </w:rPr>
      </w:pPr>
      <w:r w:rsidRPr="00720033">
        <w:rPr>
          <w:b/>
          <w:bCs/>
          <w:sz w:val="28"/>
          <w:szCs w:val="20"/>
        </w:rPr>
        <w:lastRenderedPageBreak/>
        <w:t>FAQs for non-matriculated students interested in the Accessibility Studies Certificate</w:t>
      </w:r>
    </w:p>
    <w:p w14:paraId="63732E0A" w14:textId="77777777" w:rsidR="00FC33D5" w:rsidRPr="00720033" w:rsidRDefault="00FC33D5" w:rsidP="5FDF7AD1">
      <w:pPr>
        <w:rPr>
          <w:b/>
          <w:bCs/>
          <w:sz w:val="28"/>
          <w:szCs w:val="20"/>
        </w:rPr>
        <w:sectPr w:rsidR="00FC33D5" w:rsidRPr="00720033" w:rsidSect="00284FFE">
          <w:pgSz w:w="12240" w:h="15840"/>
          <w:pgMar w:top="720" w:right="720" w:bottom="720" w:left="720" w:header="720" w:footer="720" w:gutter="0"/>
          <w:cols w:space="720"/>
          <w:docGrid w:linePitch="360"/>
        </w:sectPr>
      </w:pPr>
    </w:p>
    <w:p w14:paraId="25B12605" w14:textId="7E2ADBA8" w:rsidR="00FC33D5" w:rsidRPr="00720033" w:rsidRDefault="00FC33D5" w:rsidP="00720033">
      <w:pPr>
        <w:spacing w:after="120" w:line="240" w:lineRule="auto"/>
        <w:rPr>
          <w:bCs/>
          <w:szCs w:val="20"/>
        </w:rPr>
      </w:pPr>
      <w:r w:rsidRPr="00720033">
        <w:rPr>
          <w:bCs/>
          <w:szCs w:val="20"/>
        </w:rPr>
        <w:t xml:space="preserve">You might not be a Central Washington University undergraduate or graduate </w:t>
      </w:r>
      <w:proofErr w:type="gramStart"/>
      <w:r w:rsidRPr="00720033">
        <w:rPr>
          <w:bCs/>
          <w:szCs w:val="20"/>
        </w:rPr>
        <w:t>student</w:t>
      </w:r>
      <w:proofErr w:type="gramEnd"/>
      <w:r w:rsidRPr="00720033">
        <w:rPr>
          <w:bCs/>
          <w:szCs w:val="20"/>
        </w:rPr>
        <w:t xml:space="preserve"> but you can still take courses as a non-matriculated student.</w:t>
      </w:r>
    </w:p>
    <w:p w14:paraId="3A8EC8AA" w14:textId="01F8376C" w:rsidR="00FC33D5" w:rsidRPr="00720033" w:rsidRDefault="00FC33D5" w:rsidP="00720033">
      <w:pPr>
        <w:spacing w:after="120" w:line="240" w:lineRule="auto"/>
        <w:rPr>
          <w:bCs/>
          <w:szCs w:val="20"/>
        </w:rPr>
      </w:pPr>
      <w:r w:rsidRPr="00720033">
        <w:rPr>
          <w:b/>
          <w:bCs/>
          <w:i/>
          <w:szCs w:val="20"/>
        </w:rPr>
        <w:t>How do you apply to the program?</w:t>
      </w:r>
      <w:r w:rsidRPr="00720033">
        <w:rPr>
          <w:bCs/>
          <w:i/>
          <w:szCs w:val="20"/>
        </w:rPr>
        <w:t xml:space="preserve"> </w:t>
      </w:r>
      <w:r w:rsidRPr="00720033">
        <w:rPr>
          <w:bCs/>
          <w:szCs w:val="20"/>
        </w:rPr>
        <w:t xml:space="preserve">This is done online at </w:t>
      </w:r>
      <w:hyperlink r:id="rId10" w:history="1">
        <w:r w:rsidRPr="00720033">
          <w:rPr>
            <w:rStyle w:val="Hyperlink"/>
            <w:bCs/>
            <w:szCs w:val="20"/>
          </w:rPr>
          <w:t>www.cwu.edu/accessibility-studies</w:t>
        </w:r>
      </w:hyperlink>
      <w:r w:rsidRPr="00720033">
        <w:rPr>
          <w:bCs/>
          <w:szCs w:val="20"/>
        </w:rPr>
        <w:t xml:space="preserve"> under Prospective Students. The </w:t>
      </w:r>
      <w:proofErr w:type="gramStart"/>
      <w:r w:rsidRPr="00720033">
        <w:rPr>
          <w:bCs/>
          <w:szCs w:val="20"/>
        </w:rPr>
        <w:t>drop down</w:t>
      </w:r>
      <w:proofErr w:type="gramEnd"/>
      <w:r w:rsidRPr="00720033">
        <w:rPr>
          <w:bCs/>
          <w:szCs w:val="20"/>
        </w:rPr>
        <w:t xml:space="preserve"> menus encourage you to plan when you would take each course, but I am happy to work with you directly to f</w:t>
      </w:r>
      <w:r w:rsidR="00720033" w:rsidRPr="00720033">
        <w:rPr>
          <w:bCs/>
          <w:szCs w:val="20"/>
        </w:rPr>
        <w:t>igure that out.</w:t>
      </w:r>
    </w:p>
    <w:p w14:paraId="00F62660" w14:textId="167907C9" w:rsidR="00FC33D5" w:rsidRPr="00720033" w:rsidRDefault="00FC33D5" w:rsidP="00720033">
      <w:pPr>
        <w:spacing w:after="120" w:line="240" w:lineRule="auto"/>
        <w:rPr>
          <w:b/>
          <w:bCs/>
          <w:szCs w:val="20"/>
        </w:rPr>
      </w:pPr>
      <w:r w:rsidRPr="00720033">
        <w:rPr>
          <w:b/>
          <w:bCs/>
          <w:i/>
          <w:szCs w:val="20"/>
        </w:rPr>
        <w:t xml:space="preserve">How do you register? </w:t>
      </w:r>
      <w:r w:rsidRPr="00720033">
        <w:rPr>
          <w:bCs/>
          <w:szCs w:val="20"/>
        </w:rPr>
        <w:t xml:space="preserve">You start by contacting the registrar at </w:t>
      </w:r>
      <w:hyperlink r:id="rId11" w:history="1">
        <w:r w:rsidRPr="00720033">
          <w:rPr>
            <w:rStyle w:val="Hyperlink"/>
            <w:bCs/>
            <w:szCs w:val="20"/>
          </w:rPr>
          <w:t>reg@cwu.edu</w:t>
        </w:r>
      </w:hyperlink>
      <w:r w:rsidRPr="00720033">
        <w:rPr>
          <w:bCs/>
          <w:szCs w:val="20"/>
        </w:rPr>
        <w:t xml:space="preserve"> . Once you have registered with the university (a $40 fee) you will be given the codes for registering for classes, another online process.</w:t>
      </w:r>
      <w:bookmarkStart w:id="0" w:name="_GoBack"/>
      <w:bookmarkEnd w:id="0"/>
    </w:p>
    <w:p w14:paraId="3C2C7326" w14:textId="79384A56" w:rsidR="00FC33D5" w:rsidRPr="00720033" w:rsidRDefault="00FC33D5" w:rsidP="00720033">
      <w:pPr>
        <w:spacing w:after="120" w:line="240" w:lineRule="auto"/>
        <w:rPr>
          <w:bCs/>
          <w:szCs w:val="20"/>
        </w:rPr>
      </w:pPr>
      <w:r w:rsidRPr="00720033">
        <w:rPr>
          <w:b/>
          <w:bCs/>
          <w:i/>
          <w:szCs w:val="20"/>
        </w:rPr>
        <w:t xml:space="preserve">What are the courses and when are they offered? </w:t>
      </w:r>
      <w:r w:rsidRPr="00720033">
        <w:rPr>
          <w:bCs/>
          <w:szCs w:val="20"/>
        </w:rPr>
        <w:t xml:space="preserve">You can take the three core courses in any order and even at the same time. </w:t>
      </w:r>
    </w:p>
    <w:p w14:paraId="69BB2115" w14:textId="77777777" w:rsidR="009249C2" w:rsidRPr="00720033" w:rsidRDefault="00FC33D5" w:rsidP="00720033">
      <w:pPr>
        <w:pStyle w:val="ListParagraph"/>
        <w:numPr>
          <w:ilvl w:val="0"/>
          <w:numId w:val="3"/>
        </w:numPr>
        <w:spacing w:after="120" w:line="240" w:lineRule="auto"/>
        <w:rPr>
          <w:bCs/>
          <w:szCs w:val="20"/>
        </w:rPr>
      </w:pPr>
      <w:r w:rsidRPr="00720033">
        <w:rPr>
          <w:bCs/>
          <w:szCs w:val="20"/>
        </w:rPr>
        <w:t xml:space="preserve">ASP 305 </w:t>
      </w:r>
      <w:r w:rsidRPr="00720033">
        <w:rPr>
          <w:bCs/>
          <w:i/>
          <w:szCs w:val="20"/>
        </w:rPr>
        <w:t>Accessibility &amp; User Experience</w:t>
      </w:r>
      <w:r w:rsidRPr="00720033">
        <w:rPr>
          <w:bCs/>
          <w:szCs w:val="20"/>
        </w:rPr>
        <w:t xml:space="preserve"> (4 </w:t>
      </w:r>
      <w:proofErr w:type="spellStart"/>
      <w:r w:rsidRPr="00720033">
        <w:rPr>
          <w:bCs/>
          <w:szCs w:val="20"/>
        </w:rPr>
        <w:t>cr</w:t>
      </w:r>
      <w:proofErr w:type="spellEnd"/>
      <w:r w:rsidRPr="00720033">
        <w:rPr>
          <w:bCs/>
          <w:szCs w:val="20"/>
        </w:rPr>
        <w:t>) is offered every quarter. No prerequisites.</w:t>
      </w:r>
    </w:p>
    <w:p w14:paraId="79E8E44D" w14:textId="77777777" w:rsidR="009249C2" w:rsidRPr="00720033" w:rsidRDefault="009249C2" w:rsidP="00720033">
      <w:pPr>
        <w:pStyle w:val="ListParagraph"/>
        <w:numPr>
          <w:ilvl w:val="0"/>
          <w:numId w:val="3"/>
        </w:numPr>
        <w:spacing w:after="120" w:line="240" w:lineRule="auto"/>
        <w:rPr>
          <w:bCs/>
          <w:szCs w:val="20"/>
        </w:rPr>
      </w:pPr>
      <w:r w:rsidRPr="00720033">
        <w:rPr>
          <w:bCs/>
          <w:i/>
          <w:szCs w:val="20"/>
        </w:rPr>
        <w:t>ASP 325 Universal Design</w:t>
      </w:r>
      <w:r w:rsidRPr="00720033">
        <w:rPr>
          <w:bCs/>
          <w:szCs w:val="20"/>
        </w:rPr>
        <w:t xml:space="preserve"> (4 </w:t>
      </w:r>
      <w:proofErr w:type="spellStart"/>
      <w:r w:rsidRPr="00720033">
        <w:rPr>
          <w:bCs/>
          <w:szCs w:val="20"/>
        </w:rPr>
        <w:t>cr</w:t>
      </w:r>
      <w:proofErr w:type="spellEnd"/>
      <w:r w:rsidRPr="00720033">
        <w:rPr>
          <w:bCs/>
          <w:szCs w:val="20"/>
        </w:rPr>
        <w:t>) is offered Summer and Winter. No prerequisites.</w:t>
      </w:r>
    </w:p>
    <w:p w14:paraId="3AFDD4B1" w14:textId="53F1AF8F" w:rsidR="009249C2" w:rsidRPr="00720033" w:rsidRDefault="009249C2" w:rsidP="00720033">
      <w:pPr>
        <w:pStyle w:val="ListParagraph"/>
        <w:numPr>
          <w:ilvl w:val="0"/>
          <w:numId w:val="3"/>
        </w:numPr>
        <w:spacing w:after="120" w:line="240" w:lineRule="auto"/>
        <w:rPr>
          <w:bCs/>
          <w:szCs w:val="20"/>
        </w:rPr>
      </w:pPr>
      <w:r w:rsidRPr="00720033">
        <w:rPr>
          <w:bCs/>
          <w:i/>
          <w:szCs w:val="20"/>
        </w:rPr>
        <w:t>ASP 435 Accessible Information Design</w:t>
      </w:r>
      <w:r w:rsidRPr="00720033">
        <w:rPr>
          <w:bCs/>
          <w:szCs w:val="20"/>
        </w:rPr>
        <w:t xml:space="preserve"> (5 </w:t>
      </w:r>
      <w:proofErr w:type="spellStart"/>
      <w:r w:rsidRPr="00720033">
        <w:rPr>
          <w:bCs/>
          <w:szCs w:val="20"/>
        </w:rPr>
        <w:t>cr</w:t>
      </w:r>
      <w:proofErr w:type="spellEnd"/>
      <w:r w:rsidRPr="00720033">
        <w:rPr>
          <w:bCs/>
          <w:szCs w:val="20"/>
        </w:rPr>
        <w:t>) is offered Summer and Spring. Prerequisites: ENG 101-102 or some equivalent means of establishing college level fluency.</w:t>
      </w:r>
    </w:p>
    <w:p w14:paraId="763D1B91" w14:textId="4B267676" w:rsidR="009249C2" w:rsidRPr="00720033" w:rsidRDefault="009249C2" w:rsidP="00720033">
      <w:pPr>
        <w:spacing w:after="120" w:line="240" w:lineRule="auto"/>
        <w:rPr>
          <w:bCs/>
          <w:szCs w:val="20"/>
        </w:rPr>
      </w:pPr>
      <w:r w:rsidRPr="00720033">
        <w:rPr>
          <w:bCs/>
          <w:szCs w:val="20"/>
        </w:rPr>
        <w:t>Once those are underway, you can sign up fo</w:t>
      </w:r>
      <w:r w:rsidR="00720033">
        <w:rPr>
          <w:bCs/>
          <w:szCs w:val="20"/>
        </w:rPr>
        <w:t>r</w:t>
      </w:r>
    </w:p>
    <w:p w14:paraId="5F7F4B20" w14:textId="17766970" w:rsidR="009249C2" w:rsidRPr="00720033" w:rsidRDefault="009249C2" w:rsidP="00720033">
      <w:pPr>
        <w:pStyle w:val="ListParagraph"/>
        <w:numPr>
          <w:ilvl w:val="0"/>
          <w:numId w:val="4"/>
        </w:numPr>
        <w:spacing w:after="120" w:line="240" w:lineRule="auto"/>
        <w:rPr>
          <w:bCs/>
          <w:szCs w:val="20"/>
        </w:rPr>
      </w:pPr>
      <w:r w:rsidRPr="00720033">
        <w:rPr>
          <w:bCs/>
          <w:i/>
          <w:szCs w:val="20"/>
        </w:rPr>
        <w:t>ASP 485 Accessibility Capstone</w:t>
      </w:r>
      <w:r w:rsidRPr="00720033">
        <w:rPr>
          <w:bCs/>
          <w:szCs w:val="20"/>
        </w:rPr>
        <w:t xml:space="preserve"> (2-3 </w:t>
      </w:r>
      <w:proofErr w:type="spellStart"/>
      <w:r w:rsidRPr="00720033">
        <w:rPr>
          <w:bCs/>
          <w:szCs w:val="20"/>
        </w:rPr>
        <w:t>cr</w:t>
      </w:r>
      <w:proofErr w:type="spellEnd"/>
      <w:r w:rsidRPr="00720033">
        <w:rPr>
          <w:bCs/>
          <w:szCs w:val="20"/>
        </w:rPr>
        <w:t>) which can be arranged individually. Pre/co-requisites: ASP 305, 325, 435.</w:t>
      </w:r>
    </w:p>
    <w:p w14:paraId="752CA597" w14:textId="210A4420" w:rsidR="009249C2" w:rsidRPr="00720033" w:rsidRDefault="009249C2" w:rsidP="00720033">
      <w:pPr>
        <w:spacing w:after="120" w:line="240" w:lineRule="auto"/>
        <w:rPr>
          <w:bCs/>
          <w:szCs w:val="20"/>
        </w:rPr>
      </w:pPr>
      <w:r w:rsidRPr="00720033">
        <w:rPr>
          <w:bCs/>
          <w:szCs w:val="20"/>
        </w:rPr>
        <w:t xml:space="preserve">We also arrange internships (ASP 490, 1-12 </w:t>
      </w:r>
      <w:proofErr w:type="spellStart"/>
      <w:r w:rsidRPr="00720033">
        <w:rPr>
          <w:bCs/>
          <w:szCs w:val="20"/>
        </w:rPr>
        <w:t>cr</w:t>
      </w:r>
      <w:proofErr w:type="spellEnd"/>
      <w:r w:rsidR="004A32AA">
        <w:rPr>
          <w:bCs/>
          <w:szCs w:val="20"/>
        </w:rPr>
        <w:t>)</w:t>
      </w:r>
      <w:r w:rsidR="0058449A" w:rsidRPr="00720033">
        <w:rPr>
          <w:bCs/>
          <w:szCs w:val="20"/>
        </w:rPr>
        <w:t xml:space="preserve"> </w:t>
      </w:r>
      <w:r w:rsidR="004A32AA">
        <w:rPr>
          <w:bCs/>
          <w:szCs w:val="20"/>
        </w:rPr>
        <w:t>that</w:t>
      </w:r>
      <w:r w:rsidR="0058449A" w:rsidRPr="00720033">
        <w:rPr>
          <w:bCs/>
          <w:szCs w:val="20"/>
        </w:rPr>
        <w:t xml:space="preserve"> can overlap with your employment. Each credit means 40 hours of internship activity. You do not need this to complete the </w:t>
      </w:r>
      <w:proofErr w:type="gramStart"/>
      <w:r w:rsidR="0058449A" w:rsidRPr="00720033">
        <w:rPr>
          <w:bCs/>
          <w:szCs w:val="20"/>
        </w:rPr>
        <w:t>certificate</w:t>
      </w:r>
      <w:proofErr w:type="gramEnd"/>
      <w:r w:rsidR="0058449A" w:rsidRPr="00720033">
        <w:rPr>
          <w:bCs/>
          <w:szCs w:val="20"/>
        </w:rPr>
        <w:t xml:space="preserve"> but it is certainly helpful especially for providing extra support for the capstone project.</w:t>
      </w:r>
    </w:p>
    <w:p w14:paraId="044052EB" w14:textId="2F464659" w:rsidR="002F0015" w:rsidRPr="00720033" w:rsidRDefault="0058449A" w:rsidP="00720033">
      <w:pPr>
        <w:spacing w:after="120" w:line="240" w:lineRule="auto"/>
        <w:rPr>
          <w:bCs/>
          <w:szCs w:val="20"/>
        </w:rPr>
      </w:pPr>
      <w:r w:rsidRPr="00720033">
        <w:rPr>
          <w:b/>
          <w:bCs/>
          <w:i/>
          <w:szCs w:val="20"/>
        </w:rPr>
        <w:t xml:space="preserve">How long does the certificate take? </w:t>
      </w:r>
      <w:r w:rsidR="002F0015" w:rsidRPr="00720033">
        <w:rPr>
          <w:bCs/>
          <w:szCs w:val="20"/>
        </w:rPr>
        <w:t xml:space="preserve"> You can </w:t>
      </w:r>
      <w:r w:rsidR="00720033">
        <w:rPr>
          <w:bCs/>
          <w:szCs w:val="20"/>
        </w:rPr>
        <w:t>complete the</w:t>
      </w:r>
      <w:r w:rsidR="002F0015" w:rsidRPr="00720033">
        <w:rPr>
          <w:bCs/>
          <w:szCs w:val="20"/>
        </w:rPr>
        <w:t xml:space="preserve"> certificate in one to four quarters. CWU is on a quarter system, with courses starting in Summer (June), Fall (September), Winter (January), and Spring (March). Each quarter is 10 weeks long. The final course, ASP 485, is the capstone which is arranged individually and often people take more than a quarter to complete. We also offer all four courses together in an intense summer session.</w:t>
      </w:r>
    </w:p>
    <w:p w14:paraId="2C369D7A" w14:textId="15D69573" w:rsidR="002F0015" w:rsidRPr="00720033" w:rsidRDefault="002F0015" w:rsidP="00720033">
      <w:pPr>
        <w:spacing w:after="120" w:line="240" w:lineRule="auto"/>
        <w:rPr>
          <w:bCs/>
          <w:szCs w:val="20"/>
        </w:rPr>
      </w:pPr>
      <w:r w:rsidRPr="00720033">
        <w:rPr>
          <w:b/>
          <w:bCs/>
          <w:i/>
          <w:szCs w:val="20"/>
        </w:rPr>
        <w:t xml:space="preserve">How much work is involved? </w:t>
      </w:r>
      <w:r w:rsidRPr="00720033">
        <w:rPr>
          <w:bCs/>
          <w:szCs w:val="20"/>
        </w:rPr>
        <w:t xml:space="preserve"> As far as the online course experience, all the instructors arrange synchronous meetings </w:t>
      </w:r>
      <w:proofErr w:type="gramStart"/>
      <w:r w:rsidRPr="00720033">
        <w:rPr>
          <w:bCs/>
          <w:szCs w:val="20"/>
        </w:rPr>
        <w:t>in order to</w:t>
      </w:r>
      <w:proofErr w:type="gramEnd"/>
      <w:r w:rsidRPr="00720033">
        <w:rPr>
          <w:bCs/>
          <w:szCs w:val="20"/>
        </w:rPr>
        <w:t xml:space="preserve"> support students, but these are rarely mandatory. The work is accomplished by independent reading and completion of online week-long modules which include interaction with others via online discussion boards.    </w:t>
      </w:r>
    </w:p>
    <w:p w14:paraId="304EC8BE" w14:textId="4135F8A1" w:rsidR="002F0015" w:rsidRPr="00720033" w:rsidRDefault="002F0015" w:rsidP="00720033">
      <w:pPr>
        <w:spacing w:after="120" w:line="240" w:lineRule="auto"/>
        <w:rPr>
          <w:bCs/>
          <w:szCs w:val="20"/>
        </w:rPr>
      </w:pPr>
      <w:r w:rsidRPr="00720033">
        <w:rPr>
          <w:bCs/>
          <w:szCs w:val="20"/>
        </w:rPr>
        <w:t>The capstone project is a more involved investigation and formal paper. Completion of the certificate requires passing a comprehensive test of knowledge form the other three courses. However, it is open book, and you can re-take it if necessary.</w:t>
      </w:r>
    </w:p>
    <w:p w14:paraId="3438113C" w14:textId="2AE38CA0" w:rsidR="002F0015" w:rsidRPr="00720033" w:rsidRDefault="002F0015" w:rsidP="00720033">
      <w:pPr>
        <w:spacing w:after="120" w:line="240" w:lineRule="auto"/>
        <w:rPr>
          <w:bCs/>
          <w:szCs w:val="20"/>
        </w:rPr>
      </w:pPr>
      <w:r w:rsidRPr="00720033">
        <w:rPr>
          <w:b/>
          <w:bCs/>
          <w:i/>
          <w:szCs w:val="20"/>
        </w:rPr>
        <w:t xml:space="preserve">How much does it cost? </w:t>
      </w:r>
      <w:r w:rsidRPr="00720033">
        <w:rPr>
          <w:bCs/>
          <w:szCs w:val="20"/>
        </w:rPr>
        <w:t xml:space="preserve">The certificate includes four courses totaling 15-16 quarter credits. CWU tuition </w:t>
      </w:r>
      <w:r w:rsidR="00F81963">
        <w:rPr>
          <w:bCs/>
          <w:szCs w:val="20"/>
        </w:rPr>
        <w:t>and fees are</w:t>
      </w:r>
      <w:r w:rsidRPr="00720033">
        <w:rPr>
          <w:bCs/>
          <w:szCs w:val="20"/>
        </w:rPr>
        <w:t xml:space="preserve"> $2</w:t>
      </w:r>
      <w:r w:rsidR="00F81963">
        <w:rPr>
          <w:bCs/>
          <w:szCs w:val="20"/>
        </w:rPr>
        <w:t>40</w:t>
      </w:r>
      <w:r w:rsidRPr="00720033">
        <w:rPr>
          <w:bCs/>
          <w:szCs w:val="20"/>
        </w:rPr>
        <w:t xml:space="preserve">/credit </w:t>
      </w:r>
      <w:r w:rsidR="00F81963">
        <w:rPr>
          <w:bCs/>
          <w:szCs w:val="20"/>
        </w:rPr>
        <w:t xml:space="preserve">plus </w:t>
      </w:r>
      <w:r w:rsidRPr="00720033">
        <w:rPr>
          <w:bCs/>
          <w:szCs w:val="20"/>
        </w:rPr>
        <w:t>a $40 application to the university which gets you the student ID number and access</w:t>
      </w:r>
      <w:r w:rsidR="00F81963">
        <w:rPr>
          <w:bCs/>
          <w:szCs w:val="20"/>
        </w:rPr>
        <w:t xml:space="preserve"> </w:t>
      </w:r>
      <w:r w:rsidRPr="00720033">
        <w:rPr>
          <w:bCs/>
          <w:szCs w:val="20"/>
        </w:rPr>
        <w:t xml:space="preserve">to the library and other services. Also, because the courses are online, there is an additional fee of $40 per course. The textbooks are relatively inexpensive, totaling about $200. The books are considered a library to use across the courses. </w:t>
      </w:r>
      <w:proofErr w:type="gramStart"/>
      <w:r w:rsidRPr="00720033">
        <w:rPr>
          <w:bCs/>
          <w:szCs w:val="20"/>
        </w:rPr>
        <w:t>Thus</w:t>
      </w:r>
      <w:proofErr w:type="gramEnd"/>
      <w:r w:rsidRPr="00720033">
        <w:rPr>
          <w:bCs/>
          <w:szCs w:val="20"/>
        </w:rPr>
        <w:t xml:space="preserve"> the total tuition and fees estimate is </w:t>
      </w:r>
      <w:r w:rsidR="00F81963">
        <w:rPr>
          <w:bCs/>
          <w:szCs w:val="20"/>
        </w:rPr>
        <w:t>around $4000. Out of state students are charged the same for this online program.</w:t>
      </w:r>
    </w:p>
    <w:p w14:paraId="0B0E8B3E" w14:textId="15697B5C" w:rsidR="002F0015" w:rsidRPr="00720033" w:rsidRDefault="002F0015" w:rsidP="00720033">
      <w:pPr>
        <w:spacing w:after="120" w:line="240" w:lineRule="auto"/>
        <w:rPr>
          <w:bCs/>
          <w:szCs w:val="20"/>
        </w:rPr>
      </w:pPr>
      <w:r w:rsidRPr="00720033">
        <w:rPr>
          <w:b/>
          <w:bCs/>
          <w:i/>
          <w:szCs w:val="20"/>
        </w:rPr>
        <w:t xml:space="preserve">What is the curriculum? </w:t>
      </w:r>
      <w:r w:rsidRPr="00720033">
        <w:rPr>
          <w:bCs/>
          <w:szCs w:val="20"/>
        </w:rPr>
        <w:t xml:space="preserve">The four courses constitute the 15-credit certificate. Each course contributes a core of knowledge that is then applied to a project of your own design in the capstone. Please consult </w:t>
      </w:r>
      <w:hyperlink r:id="rId12" w:history="1">
        <w:r w:rsidRPr="00720033">
          <w:rPr>
            <w:rStyle w:val="Hyperlink"/>
            <w:bCs/>
            <w:szCs w:val="20"/>
          </w:rPr>
          <w:t>http://www.cwu.edu/accessibility-studies/course-outcomes-0</w:t>
        </w:r>
      </w:hyperlink>
      <w:r w:rsidRPr="00720033">
        <w:rPr>
          <w:bCs/>
          <w:szCs w:val="20"/>
        </w:rPr>
        <w:t xml:space="preserve"> which summarizes the learning outcomes for each of the courses. This is the knowledge base that is tested in the final exam during the capstone course.</w:t>
      </w:r>
    </w:p>
    <w:p w14:paraId="0420D6B7" w14:textId="39DC9D92" w:rsidR="00720033" w:rsidRPr="00720033" w:rsidRDefault="00720033" w:rsidP="00720033">
      <w:pPr>
        <w:spacing w:after="120" w:line="240" w:lineRule="auto"/>
        <w:rPr>
          <w:bCs/>
          <w:szCs w:val="20"/>
        </w:rPr>
      </w:pPr>
      <w:r w:rsidRPr="00720033">
        <w:rPr>
          <w:b/>
          <w:bCs/>
          <w:i/>
          <w:szCs w:val="20"/>
        </w:rPr>
        <w:t xml:space="preserve">Who else takes these classes? </w:t>
      </w:r>
      <w:r w:rsidRPr="00720033">
        <w:rPr>
          <w:bCs/>
          <w:szCs w:val="20"/>
        </w:rPr>
        <w:t xml:space="preserve">Some students are pursuing their bachelors’ </w:t>
      </w:r>
      <w:proofErr w:type="gramStart"/>
      <w:r w:rsidRPr="00720033">
        <w:rPr>
          <w:bCs/>
          <w:szCs w:val="20"/>
        </w:rPr>
        <w:t>degrees</w:t>
      </w:r>
      <w:proofErr w:type="gramEnd"/>
      <w:r w:rsidRPr="00720033">
        <w:rPr>
          <w:bCs/>
          <w:szCs w:val="20"/>
        </w:rPr>
        <w:t xml:space="preserve"> and this is part of their Accessibility Studies Minor or part of an interdisciplinary studies major. Most, though, are interested in personal and professional development and are just seeking the certificate. Others are just taking individual courses.</w:t>
      </w:r>
    </w:p>
    <w:p w14:paraId="5F95B09F" w14:textId="1284130A" w:rsidR="00720033" w:rsidRPr="00720033" w:rsidRDefault="00720033" w:rsidP="00720033">
      <w:pPr>
        <w:spacing w:after="120" w:line="240" w:lineRule="auto"/>
        <w:rPr>
          <w:bCs/>
          <w:szCs w:val="20"/>
        </w:rPr>
      </w:pPr>
      <w:r w:rsidRPr="00720033">
        <w:rPr>
          <w:bCs/>
          <w:szCs w:val="20"/>
        </w:rPr>
        <w:t>The students are from all fields: teaching, law, social work, museums, recreation, computer science, human resources, communication, technology, sports management… You name it! Accessibility is applicable when people are involved.</w:t>
      </w:r>
    </w:p>
    <w:p w14:paraId="6FDB2199" w14:textId="7EA38D3E" w:rsidR="00720033" w:rsidRPr="00720033" w:rsidRDefault="00720033" w:rsidP="00720033">
      <w:pPr>
        <w:spacing w:after="120" w:line="240" w:lineRule="auto"/>
        <w:rPr>
          <w:bCs/>
          <w:sz w:val="20"/>
          <w:szCs w:val="20"/>
        </w:rPr>
        <w:sectPr w:rsidR="00720033" w:rsidRPr="00720033" w:rsidSect="00FC33D5">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659264" behindDoc="1" locked="0" layoutInCell="1" allowOverlap="1" wp14:anchorId="3D2CA2FB" wp14:editId="0485A67C">
            <wp:simplePos x="0" y="0"/>
            <wp:positionH relativeFrom="column">
              <wp:posOffset>26670</wp:posOffset>
            </wp:positionH>
            <wp:positionV relativeFrom="paragraph">
              <wp:posOffset>566420</wp:posOffset>
            </wp:positionV>
            <wp:extent cx="3046095" cy="787400"/>
            <wp:effectExtent l="0" t="0" r="1905" b="0"/>
            <wp:wrapTight wrapText="bothSides">
              <wp:wrapPolygon edited="0">
                <wp:start x="0" y="0"/>
                <wp:lineTo x="0" y="20903"/>
                <wp:lineTo x="21478" y="20903"/>
                <wp:lineTo x="21478" y="0"/>
                <wp:lineTo x="0" y="0"/>
              </wp:wrapPolygon>
            </wp:wrapTight>
            <wp:docPr id="19215727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bwMode="auto">
                    <a:xfrm>
                      <a:off x="0" y="0"/>
                      <a:ext cx="3046095"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20033">
        <w:rPr>
          <w:b/>
          <w:bCs/>
          <w:i/>
          <w:szCs w:val="20"/>
        </w:rPr>
        <w:t xml:space="preserve">Who can I talk to about </w:t>
      </w:r>
      <w:r>
        <w:rPr>
          <w:b/>
          <w:bCs/>
          <w:i/>
          <w:szCs w:val="20"/>
        </w:rPr>
        <w:t>the Accessibility Studies Certi</w:t>
      </w:r>
      <w:r w:rsidRPr="00720033">
        <w:rPr>
          <w:b/>
          <w:bCs/>
          <w:i/>
          <w:szCs w:val="20"/>
        </w:rPr>
        <w:t>fi</w:t>
      </w:r>
      <w:r>
        <w:rPr>
          <w:b/>
          <w:bCs/>
          <w:i/>
          <w:szCs w:val="20"/>
        </w:rPr>
        <w:t>c</w:t>
      </w:r>
      <w:r w:rsidRPr="00720033">
        <w:rPr>
          <w:b/>
          <w:bCs/>
          <w:i/>
          <w:szCs w:val="20"/>
        </w:rPr>
        <w:t xml:space="preserve">ate? </w:t>
      </w:r>
      <w:r w:rsidRPr="00720033">
        <w:rPr>
          <w:bCs/>
          <w:szCs w:val="20"/>
        </w:rPr>
        <w:t>Contact Naomi Petersen at Naomi.Petersen@cwu.edu</w:t>
      </w:r>
    </w:p>
    <w:p w14:paraId="2CE6413E" w14:textId="0CD3F17B" w:rsidR="00FC33D5" w:rsidRDefault="00FC33D5" w:rsidP="00720033">
      <w:pPr>
        <w:spacing w:after="120" w:line="240" w:lineRule="auto"/>
        <w:rPr>
          <w:b/>
          <w:bCs/>
          <w:sz w:val="20"/>
          <w:szCs w:val="20"/>
        </w:rPr>
      </w:pPr>
    </w:p>
    <w:p w14:paraId="7223676B" w14:textId="77E3A7D8" w:rsidR="5FDF7AD1" w:rsidRDefault="5FDF7AD1" w:rsidP="00720033">
      <w:pPr>
        <w:spacing w:after="120" w:line="240" w:lineRule="auto"/>
        <w:rPr>
          <w:b/>
          <w:bCs/>
          <w:sz w:val="20"/>
          <w:szCs w:val="20"/>
        </w:rPr>
      </w:pPr>
    </w:p>
    <w:sectPr w:rsidR="5FDF7AD1" w:rsidSect="00FC33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2715F"/>
    <w:multiLevelType w:val="hybridMultilevel"/>
    <w:tmpl w:val="48E60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B75D1"/>
    <w:multiLevelType w:val="hybridMultilevel"/>
    <w:tmpl w:val="2A5C7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D41F53"/>
    <w:multiLevelType w:val="hybridMultilevel"/>
    <w:tmpl w:val="102E1FD0"/>
    <w:lvl w:ilvl="0" w:tplc="F8207668">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A5AD3"/>
    <w:multiLevelType w:val="hybridMultilevel"/>
    <w:tmpl w:val="2406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8E"/>
    <w:rsid w:val="000861D6"/>
    <w:rsid w:val="001D24FF"/>
    <w:rsid w:val="001E37ED"/>
    <w:rsid w:val="00284FFE"/>
    <w:rsid w:val="002D3BA4"/>
    <w:rsid w:val="002F0015"/>
    <w:rsid w:val="002F65F0"/>
    <w:rsid w:val="003144F7"/>
    <w:rsid w:val="003C4DC3"/>
    <w:rsid w:val="00407CDA"/>
    <w:rsid w:val="004A32AA"/>
    <w:rsid w:val="004D004A"/>
    <w:rsid w:val="004F0137"/>
    <w:rsid w:val="00502063"/>
    <w:rsid w:val="0058449A"/>
    <w:rsid w:val="005C69DE"/>
    <w:rsid w:val="00612DA2"/>
    <w:rsid w:val="00662AF9"/>
    <w:rsid w:val="006E358D"/>
    <w:rsid w:val="00704B8A"/>
    <w:rsid w:val="00710E65"/>
    <w:rsid w:val="00720033"/>
    <w:rsid w:val="00722C45"/>
    <w:rsid w:val="007C075B"/>
    <w:rsid w:val="0084344A"/>
    <w:rsid w:val="0091061B"/>
    <w:rsid w:val="009249C2"/>
    <w:rsid w:val="00A66B83"/>
    <w:rsid w:val="00B32AAB"/>
    <w:rsid w:val="00B431A5"/>
    <w:rsid w:val="00BD2377"/>
    <w:rsid w:val="00C76F24"/>
    <w:rsid w:val="00CE0122"/>
    <w:rsid w:val="00D81874"/>
    <w:rsid w:val="00E175FB"/>
    <w:rsid w:val="00E8468E"/>
    <w:rsid w:val="00EC6857"/>
    <w:rsid w:val="00F81963"/>
    <w:rsid w:val="00FA6AC1"/>
    <w:rsid w:val="00FC33D5"/>
    <w:rsid w:val="5FD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FA01"/>
  <w15:chartTrackingRefBased/>
  <w15:docId w15:val="{312B50F6-4D0F-4142-8695-07DBC6ED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3BA4"/>
    <w:pPr>
      <w:keepNext/>
      <w:keepLines/>
      <w:spacing w:before="160" w:after="80" w:line="276" w:lineRule="auto"/>
      <w:outlineLvl w:val="1"/>
    </w:pPr>
    <w:rPr>
      <w:rFonts w:asciiTheme="majorHAnsi" w:eastAsiaTheme="majorEastAsia" w:hAnsiTheme="majorHAnsi" w:cstheme="majorBidi"/>
      <w:b/>
      <w:bCs/>
      <w:color w:val="000000" w:themeColor="text1"/>
      <w:spacing w:val="4"/>
      <w:sz w:val="26"/>
      <w:szCs w:val="26"/>
      <w:lang w:eastAsia="ja-JP"/>
    </w:rPr>
  </w:style>
  <w:style w:type="paragraph" w:styleId="Heading3">
    <w:name w:val="heading 3"/>
    <w:basedOn w:val="Normal"/>
    <w:next w:val="Normal"/>
    <w:link w:val="Heading3Char"/>
    <w:uiPriority w:val="9"/>
    <w:unhideWhenUsed/>
    <w:qFormat/>
    <w:rsid w:val="002D3BA4"/>
    <w:pPr>
      <w:spacing w:after="0" w:line="240" w:lineRule="auto"/>
      <w:jc w:val="center"/>
      <w:outlineLvl w:val="2"/>
    </w:pPr>
    <w:rPr>
      <w:rFonts w:asciiTheme="majorHAnsi" w:eastAsiaTheme="majorEastAsia" w:hAnsiTheme="majorHAnsi" w:cstheme="majorBidi"/>
      <w:b/>
      <w:bCs/>
      <w:spacing w:val="4"/>
      <w:lang w:eastAsia="ja-JP"/>
    </w:rPr>
  </w:style>
  <w:style w:type="paragraph" w:styleId="Heading4">
    <w:name w:val="heading 4"/>
    <w:basedOn w:val="Normal"/>
    <w:next w:val="Normal"/>
    <w:link w:val="Heading4Char"/>
    <w:uiPriority w:val="9"/>
    <w:unhideWhenUsed/>
    <w:qFormat/>
    <w:rsid w:val="002D3BA4"/>
    <w:pPr>
      <w:keepNext/>
      <w:keepLines/>
      <w:spacing w:before="160" w:after="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tpabluenotes">
    <w:name w:val="edtpa blue notes"/>
    <w:basedOn w:val="Normal"/>
    <w:link w:val="edtpabluenotesChar"/>
    <w:qFormat/>
    <w:rsid w:val="00CE0122"/>
    <w:pPr>
      <w:spacing w:after="0" w:line="240" w:lineRule="auto"/>
    </w:pPr>
    <w:rPr>
      <w:rFonts w:ascii="Arial" w:eastAsia="Times New Roman" w:hAnsi="Arial" w:cstheme="minorHAnsi"/>
      <w:color w:val="0000FF"/>
      <w:szCs w:val="24"/>
    </w:rPr>
  </w:style>
  <w:style w:type="character" w:customStyle="1" w:styleId="edtpabluenotesChar">
    <w:name w:val="edtpa blue notes Char"/>
    <w:basedOn w:val="DefaultParagraphFont"/>
    <w:link w:val="edtpabluenotes"/>
    <w:rsid w:val="00CE0122"/>
    <w:rPr>
      <w:rFonts w:ascii="Arial" w:eastAsia="Times New Roman" w:hAnsi="Arial" w:cstheme="minorHAnsi"/>
      <w:color w:val="0000FF"/>
      <w:szCs w:val="24"/>
    </w:rPr>
  </w:style>
  <w:style w:type="paragraph" w:styleId="ListParagraph">
    <w:name w:val="List Paragraph"/>
    <w:basedOn w:val="Normal"/>
    <w:uiPriority w:val="34"/>
    <w:qFormat/>
    <w:rsid w:val="00E8468E"/>
    <w:pPr>
      <w:ind w:left="720"/>
      <w:contextualSpacing/>
    </w:pPr>
  </w:style>
  <w:style w:type="table" w:styleId="TableGrid">
    <w:name w:val="Table Grid"/>
    <w:basedOn w:val="TableNormal"/>
    <w:uiPriority w:val="39"/>
    <w:rsid w:val="002F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1D6"/>
    <w:rPr>
      <w:color w:val="0563C1" w:themeColor="hyperlink"/>
      <w:u w:val="single"/>
    </w:rPr>
  </w:style>
  <w:style w:type="paragraph" w:styleId="NormalWeb">
    <w:name w:val="Normal (Web)"/>
    <w:basedOn w:val="Normal"/>
    <w:uiPriority w:val="99"/>
    <w:unhideWhenUsed/>
    <w:rsid w:val="000861D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C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57"/>
    <w:rPr>
      <w:rFonts w:ascii="Segoe UI" w:hAnsi="Segoe UI" w:cs="Segoe UI"/>
      <w:sz w:val="18"/>
      <w:szCs w:val="18"/>
    </w:rPr>
  </w:style>
  <w:style w:type="character" w:customStyle="1" w:styleId="Heading2Char">
    <w:name w:val="Heading 2 Char"/>
    <w:basedOn w:val="DefaultParagraphFont"/>
    <w:link w:val="Heading2"/>
    <w:uiPriority w:val="9"/>
    <w:rsid w:val="002D3BA4"/>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2D3BA4"/>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2D3BA4"/>
    <w:rPr>
      <w:rFonts w:asciiTheme="majorHAnsi" w:eastAsiaTheme="majorEastAsia" w:hAnsiTheme="majorHAnsi" w:cstheme="majorBidi"/>
      <w:b/>
      <w:bCs/>
      <w:spacing w:val="4"/>
      <w:sz w:val="20"/>
      <w:szCs w:val="20"/>
      <w:lang w:eastAsia="ja-JP"/>
    </w:rPr>
  </w:style>
  <w:style w:type="paragraph" w:customStyle="1" w:styleId="ApplicantInformation">
    <w:name w:val="Applicant Information"/>
    <w:basedOn w:val="Normal"/>
    <w:next w:val="Normal"/>
    <w:uiPriority w:val="1"/>
    <w:qFormat/>
    <w:rsid w:val="002D3BA4"/>
    <w:pPr>
      <w:spacing w:after="0" w:line="240" w:lineRule="auto"/>
    </w:pPr>
    <w:rPr>
      <w:rFonts w:eastAsiaTheme="minorEastAsia"/>
      <w:i/>
      <w:iCs/>
      <w:spacing w:val="4"/>
      <w:sz w:val="17"/>
      <w:szCs w:val="17"/>
      <w:lang w:eastAsia="ja-JP"/>
    </w:rPr>
  </w:style>
  <w:style w:type="paragraph" w:styleId="Header">
    <w:name w:val="header"/>
    <w:basedOn w:val="Normal"/>
    <w:link w:val="HeaderChar"/>
    <w:uiPriority w:val="99"/>
    <w:rsid w:val="002D3BA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2D3BA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Petersen@CWU.ED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wu.edu/accessibility-studies/course-outcome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u.edu/Accessibility-Studies" TargetMode="External"/><Relationship Id="rId11" Type="http://schemas.openxmlformats.org/officeDocument/2006/relationships/hyperlink" Target="mailto:reg@cwu.edu"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wu.edu/accessibility-studies" TargetMode="External"/><Relationship Id="rId4" Type="http://schemas.openxmlformats.org/officeDocument/2006/relationships/webSettings" Target="webSettings.xml"/><Relationship Id="rId9" Type="http://schemas.openxmlformats.org/officeDocument/2006/relationships/hyperlink" Target="http://www.cwu.edu/accessibility-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Petersen</dc:creator>
  <cp:keywords/>
  <dc:description/>
  <cp:lastModifiedBy>Naomi Petersen</cp:lastModifiedBy>
  <cp:revision>2</cp:revision>
  <cp:lastPrinted>2018-04-06T23:51:00Z</cp:lastPrinted>
  <dcterms:created xsi:type="dcterms:W3CDTF">2018-11-16T17:36:00Z</dcterms:created>
  <dcterms:modified xsi:type="dcterms:W3CDTF">2018-11-16T17:36:00Z</dcterms:modified>
</cp:coreProperties>
</file>