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DF" w:rsidRDefault="001801B1" w:rsidP="00251EDE">
      <w:bookmarkStart w:id="0" w:name="_GoBack"/>
      <w:bookmarkEnd w:id="0"/>
      <w:r w:rsidRPr="00A650DD">
        <w:rPr>
          <w:rStyle w:val="Heading1Char"/>
        </w:rPr>
        <w:t>Why Disability Services LOVES WeBWorK</w:t>
      </w:r>
      <w:r>
        <w:t>…it’s all about Cost and Control</w:t>
      </w:r>
      <w:r w:rsidR="00BD1C16">
        <w:t>!</w:t>
      </w:r>
    </w:p>
    <w:p w:rsidR="00A650DD" w:rsidRDefault="00A650DD" w:rsidP="00A650DD">
      <w:pPr>
        <w:pStyle w:val="Subtitle"/>
        <w:spacing w:after="0" w:line="240" w:lineRule="auto"/>
      </w:pPr>
      <w:r>
        <w:t xml:space="preserve">Quick notes from Kaela Parks, Disability Services </w:t>
      </w:r>
      <w:r w:rsidR="00D56971">
        <w:t xml:space="preserve">Director </w:t>
      </w:r>
      <w:r>
        <w:t>at Portland Community College</w:t>
      </w:r>
    </w:p>
    <w:p w:rsidR="008218C8" w:rsidRDefault="00A650DD" w:rsidP="00126F22">
      <w:pPr>
        <w:spacing w:after="240" w:line="240" w:lineRule="auto"/>
        <w:rPr>
          <w:rStyle w:val="SubtleEmphasis"/>
        </w:rPr>
      </w:pPr>
      <w:r w:rsidRPr="00A650DD">
        <w:rPr>
          <w:rStyle w:val="SubtleEmphasis"/>
        </w:rPr>
        <w:t>Shared within the WeBWorK Code Camp held at PCC August 3</w:t>
      </w:r>
      <w:r w:rsidRPr="00A650DD">
        <w:rPr>
          <w:rStyle w:val="SubtleEmphasis"/>
          <w:vertAlign w:val="superscript"/>
        </w:rPr>
        <w:t>rd</w:t>
      </w:r>
      <w:r>
        <w:rPr>
          <w:rStyle w:val="SubtleEmphasis"/>
        </w:rPr>
        <w:t xml:space="preserve"> through </w:t>
      </w:r>
      <w:r w:rsidRPr="00A650DD">
        <w:rPr>
          <w:rStyle w:val="SubtleEmphasis"/>
        </w:rPr>
        <w:t>7</w:t>
      </w:r>
      <w:r w:rsidRPr="00A650DD">
        <w:rPr>
          <w:rStyle w:val="SubtleEmphasis"/>
          <w:vertAlign w:val="superscript"/>
        </w:rPr>
        <w:t>th</w:t>
      </w:r>
      <w:r>
        <w:rPr>
          <w:rStyle w:val="SubtleEmphasis"/>
        </w:rPr>
        <w:t xml:space="preserve"> prior to MathFest 2014</w:t>
      </w:r>
    </w:p>
    <w:p w:rsidR="008218C8" w:rsidRPr="00266AD0" w:rsidRDefault="008218C8" w:rsidP="0073091A">
      <w:pPr>
        <w:pStyle w:val="Heading2"/>
      </w:pPr>
      <w:r w:rsidRPr="00266AD0">
        <w:t>The Issue</w:t>
      </w:r>
      <w:r w:rsidR="00BC1232" w:rsidRPr="00266AD0">
        <w:t xml:space="preserve"> </w:t>
      </w:r>
    </w:p>
    <w:p w:rsidR="00E848EB" w:rsidRDefault="00BC1232" w:rsidP="00E848EB">
      <w:pPr>
        <w:pStyle w:val="ListParagraph"/>
        <w:numPr>
          <w:ilvl w:val="0"/>
          <w:numId w:val="3"/>
        </w:numPr>
        <w:spacing w:after="200" w:line="276" w:lineRule="auto"/>
      </w:pPr>
      <w:r>
        <w:t>Math students are often presented with</w:t>
      </w:r>
      <w:r w:rsidR="00E848EB">
        <w:t xml:space="preserve"> online</w:t>
      </w:r>
      <w:r>
        <w:t xml:space="preserve"> learning materials and activities that are un</w:t>
      </w:r>
      <w:r w:rsidR="008218C8" w:rsidRPr="001B7BEF">
        <w:t xml:space="preserve">usable </w:t>
      </w:r>
    </w:p>
    <w:p w:rsidR="004C40B4" w:rsidRDefault="004C40B4" w:rsidP="004C40B4">
      <w:pPr>
        <w:pStyle w:val="ListParagraph"/>
        <w:numPr>
          <w:ilvl w:val="1"/>
          <w:numId w:val="3"/>
        </w:numPr>
        <w:spacing w:before="200" w:after="200" w:line="276" w:lineRule="auto"/>
      </w:pPr>
      <w:r>
        <w:t xml:space="preserve">1 in 5 Americans have a disability </w:t>
      </w:r>
      <w:r w:rsidR="00EC4487">
        <w:t>–</w:t>
      </w:r>
      <w:r>
        <w:t>1 in 10 College Students</w:t>
      </w:r>
      <w:r w:rsidR="007A1E9E">
        <w:t xml:space="preserve"> </w:t>
      </w:r>
    </w:p>
    <w:p w:rsidR="00E848EB" w:rsidRDefault="00E848EB" w:rsidP="00E848EB">
      <w:pPr>
        <w:pStyle w:val="ListParagraph"/>
        <w:numPr>
          <w:ilvl w:val="2"/>
          <w:numId w:val="3"/>
        </w:numPr>
        <w:spacing w:before="200" w:after="200" w:line="276" w:lineRule="auto"/>
      </w:pPr>
      <w:r>
        <w:t xml:space="preserve">Barriers </w:t>
      </w:r>
      <w:r w:rsidR="00126F22">
        <w:t xml:space="preserve">are found in </w:t>
      </w:r>
      <w:r>
        <w:t>both the “content” and the “container”</w:t>
      </w:r>
    </w:p>
    <w:p w:rsidR="00E848EB" w:rsidRDefault="00E848EB" w:rsidP="00A43467">
      <w:pPr>
        <w:pStyle w:val="ListParagraph"/>
        <w:numPr>
          <w:ilvl w:val="1"/>
          <w:numId w:val="3"/>
        </w:numPr>
        <w:spacing w:before="200" w:after="200" w:line="276" w:lineRule="auto"/>
      </w:pPr>
      <w:r>
        <w:t xml:space="preserve">Guidelines have been established </w:t>
      </w:r>
      <w:r w:rsidR="00A43467">
        <w:t>for web accessibility, which help to reduce barriers</w:t>
      </w:r>
    </w:p>
    <w:p w:rsidR="00F40287" w:rsidRDefault="00BC1232" w:rsidP="00A43467">
      <w:pPr>
        <w:pStyle w:val="ListParagraph"/>
        <w:numPr>
          <w:ilvl w:val="2"/>
          <w:numId w:val="3"/>
        </w:numPr>
        <w:spacing w:before="200" w:after="200" w:line="276" w:lineRule="auto"/>
      </w:pPr>
      <w:r>
        <w:t>Online homework</w:t>
      </w:r>
      <w:r w:rsidR="004C40B4">
        <w:t xml:space="preserve"> and exam</w:t>
      </w:r>
      <w:r>
        <w:t xml:space="preserve"> sites </w:t>
      </w:r>
      <w:r w:rsidR="004C40B4">
        <w:t xml:space="preserve">do not </w:t>
      </w:r>
      <w:r w:rsidR="00126F22">
        <w:t xml:space="preserve">always </w:t>
      </w:r>
      <w:r w:rsidR="008218C8" w:rsidRPr="001B7BEF">
        <w:t xml:space="preserve">align </w:t>
      </w:r>
    </w:p>
    <w:p w:rsidR="00F40287" w:rsidRPr="001B7BEF" w:rsidRDefault="00BC1232" w:rsidP="00DE1DE1">
      <w:pPr>
        <w:pStyle w:val="ListParagraph"/>
        <w:numPr>
          <w:ilvl w:val="1"/>
          <w:numId w:val="3"/>
        </w:numPr>
        <w:spacing w:before="200" w:after="200" w:line="276" w:lineRule="auto"/>
      </w:pPr>
      <w:r>
        <w:t xml:space="preserve">Students who rely on AT </w:t>
      </w:r>
      <w:r w:rsidR="00E848EB">
        <w:t>are often unable to get in, or to make full use of these online resources</w:t>
      </w:r>
    </w:p>
    <w:p w:rsidR="00BC1232" w:rsidRDefault="00467056" w:rsidP="008218C8">
      <w:pPr>
        <w:pStyle w:val="ListParagraph"/>
        <w:numPr>
          <w:ilvl w:val="0"/>
          <w:numId w:val="3"/>
        </w:numPr>
        <w:spacing w:before="200" w:after="200" w:line="276" w:lineRule="auto"/>
      </w:pPr>
      <w:r>
        <w:t xml:space="preserve">College personnel </w:t>
      </w:r>
      <w:r w:rsidR="00F40287">
        <w:t xml:space="preserve">may not realize they have adopted </w:t>
      </w:r>
      <w:r w:rsidR="00BC1232">
        <w:t xml:space="preserve">unusable learning </w:t>
      </w:r>
      <w:r w:rsidR="00E848EB">
        <w:t xml:space="preserve">offerings </w:t>
      </w:r>
      <w:r w:rsidR="00F40287">
        <w:t>until it is too late</w:t>
      </w:r>
    </w:p>
    <w:p w:rsidR="007A1E9E" w:rsidRDefault="008218C8" w:rsidP="00BC1232">
      <w:pPr>
        <w:pStyle w:val="ListParagraph"/>
        <w:numPr>
          <w:ilvl w:val="1"/>
          <w:numId w:val="3"/>
        </w:numPr>
        <w:spacing w:before="200" w:after="200" w:line="276" w:lineRule="auto"/>
      </w:pPr>
      <w:r w:rsidRPr="001B7BEF">
        <w:t xml:space="preserve">Procurement or adoption processes </w:t>
      </w:r>
      <w:r>
        <w:t xml:space="preserve">can </w:t>
      </w:r>
      <w:r w:rsidRPr="001B7BEF">
        <w:t xml:space="preserve">allow inaccessible technology to become </w:t>
      </w:r>
      <w:r w:rsidR="007A1E9E">
        <w:t>required</w:t>
      </w:r>
    </w:p>
    <w:p w:rsidR="008218C8" w:rsidRDefault="007A1E9E" w:rsidP="00BC1232">
      <w:pPr>
        <w:pStyle w:val="ListParagraph"/>
        <w:numPr>
          <w:ilvl w:val="1"/>
          <w:numId w:val="3"/>
        </w:numPr>
        <w:spacing w:before="200" w:after="200" w:line="276" w:lineRule="auto"/>
      </w:pPr>
      <w:r>
        <w:t xml:space="preserve">This puts </w:t>
      </w:r>
      <w:r w:rsidR="008218C8">
        <w:t>institutions at risk</w:t>
      </w:r>
      <w:r>
        <w:t xml:space="preserve"> - </w:t>
      </w:r>
      <w:r w:rsidR="008218C8">
        <w:t>we ca</w:t>
      </w:r>
      <w:r w:rsidR="00BC1232">
        <w:t xml:space="preserve">nnot </w:t>
      </w:r>
      <w:r w:rsidR="00EC4487">
        <w:t xml:space="preserve">always </w:t>
      </w:r>
      <w:r w:rsidR="00BC1232">
        <w:t xml:space="preserve">accommodate our way out </w:t>
      </w:r>
    </w:p>
    <w:p w:rsidR="00F40287" w:rsidRPr="001B7BEF" w:rsidRDefault="00F40287" w:rsidP="00BC1232">
      <w:pPr>
        <w:pStyle w:val="ListParagraph"/>
        <w:numPr>
          <w:ilvl w:val="1"/>
          <w:numId w:val="3"/>
        </w:numPr>
        <w:spacing w:before="200" w:after="200" w:line="276" w:lineRule="auto"/>
      </w:pPr>
      <w:r>
        <w:t>Recent guidance has clarified responsibility – see “A Clear Standard for Access</w:t>
      </w:r>
      <w:r w:rsidR="00D56971">
        <w:t xml:space="preserve"> to Instruction</w:t>
      </w:r>
      <w:r>
        <w:t xml:space="preserve">” </w:t>
      </w:r>
    </w:p>
    <w:p w:rsidR="004C40B4" w:rsidRDefault="008218C8" w:rsidP="00266AD0">
      <w:pPr>
        <w:pStyle w:val="ListParagraph"/>
        <w:numPr>
          <w:ilvl w:val="0"/>
          <w:numId w:val="3"/>
        </w:numPr>
        <w:spacing w:before="200" w:after="200" w:line="276" w:lineRule="auto"/>
      </w:pPr>
      <w:r w:rsidRPr="001B7BEF">
        <w:t>Not enough pressure is felt by vendors to shift the balance and lead to more accessible offerings</w:t>
      </w:r>
    </w:p>
    <w:p w:rsidR="00E848EB" w:rsidRDefault="00E848EB" w:rsidP="00266AD0">
      <w:pPr>
        <w:pStyle w:val="ListParagraph"/>
        <w:numPr>
          <w:ilvl w:val="0"/>
          <w:numId w:val="3"/>
        </w:numPr>
        <w:spacing w:before="200" w:after="200" w:line="276" w:lineRule="auto"/>
      </w:pPr>
      <w:r>
        <w:t>WeBWorK is awesome because it provides an alternative that we can make both affordable</w:t>
      </w:r>
      <w:r w:rsidR="00251EDE" w:rsidRPr="00251EDE">
        <w:t xml:space="preserve"> </w:t>
      </w:r>
      <w:r w:rsidR="00251EDE">
        <w:t>&amp; accessible</w:t>
      </w:r>
    </w:p>
    <w:p w:rsidR="00F40287" w:rsidRPr="00266AD0" w:rsidRDefault="00F40287" w:rsidP="0073091A">
      <w:pPr>
        <w:pStyle w:val="Heading2"/>
      </w:pPr>
      <w:r w:rsidRPr="00266AD0">
        <w:t xml:space="preserve">Cost </w:t>
      </w:r>
    </w:p>
    <w:p w:rsidR="00201501" w:rsidRDefault="00201501" w:rsidP="00201501">
      <w:pPr>
        <w:pStyle w:val="ListParagraph"/>
        <w:numPr>
          <w:ilvl w:val="0"/>
          <w:numId w:val="2"/>
        </w:numPr>
      </w:pPr>
      <w:r>
        <w:t xml:space="preserve">Individuals who live with disability often do so in poverty </w:t>
      </w:r>
    </w:p>
    <w:p w:rsidR="00201501" w:rsidRDefault="00201501" w:rsidP="00201501">
      <w:pPr>
        <w:pStyle w:val="ListParagraph"/>
        <w:numPr>
          <w:ilvl w:val="1"/>
          <w:numId w:val="2"/>
        </w:numPr>
      </w:pPr>
      <w:r>
        <w:t xml:space="preserve">If </w:t>
      </w:r>
      <w:r w:rsidR="00447C90">
        <w:t>e</w:t>
      </w:r>
      <w:r>
        <w:t xml:space="preserve">ducational funding is </w:t>
      </w:r>
      <w:r w:rsidR="00FA0C0E">
        <w:t xml:space="preserve">in play </w:t>
      </w:r>
      <w:r>
        <w:t>the risk of failing can be higher – loss of support</w:t>
      </w:r>
    </w:p>
    <w:p w:rsidR="00201501" w:rsidRDefault="00201501" w:rsidP="00201501">
      <w:pPr>
        <w:pStyle w:val="ListParagraph"/>
        <w:numPr>
          <w:ilvl w:val="1"/>
          <w:numId w:val="2"/>
        </w:numPr>
      </w:pPr>
      <w:r>
        <w:t>Expenses for AT, Personal Care, Transportation, etc</w:t>
      </w:r>
      <w:r w:rsidR="00447C90">
        <w:t>.</w:t>
      </w:r>
      <w:r>
        <w:t xml:space="preserve"> </w:t>
      </w:r>
      <w:r w:rsidR="00A43467">
        <w:t xml:space="preserve">are </w:t>
      </w:r>
      <w:r w:rsidR="00E848EB">
        <w:t xml:space="preserve">in addition </w:t>
      </w:r>
      <w:r>
        <w:t>to tuition, books, fees</w:t>
      </w:r>
    </w:p>
    <w:p w:rsidR="00201501" w:rsidRDefault="00201501" w:rsidP="00447C90">
      <w:pPr>
        <w:pStyle w:val="ListParagraph"/>
        <w:numPr>
          <w:ilvl w:val="1"/>
          <w:numId w:val="2"/>
        </w:numPr>
      </w:pPr>
      <w:r>
        <w:t xml:space="preserve">Rates of unemployment are higher – so repaying debt </w:t>
      </w:r>
      <w:r w:rsidR="00E848EB">
        <w:t xml:space="preserve">typically </w:t>
      </w:r>
      <w:r>
        <w:t>takes longer</w:t>
      </w:r>
    </w:p>
    <w:p w:rsidR="00EC4487" w:rsidRDefault="00EC4487" w:rsidP="00EC4487">
      <w:pPr>
        <w:pStyle w:val="ListParagraph"/>
        <w:numPr>
          <w:ilvl w:val="0"/>
          <w:numId w:val="2"/>
        </w:numPr>
      </w:pPr>
      <w:r>
        <w:t xml:space="preserve">Making college more affordable is a concern of many institutions </w:t>
      </w:r>
    </w:p>
    <w:p w:rsidR="00447C90" w:rsidRDefault="00447C90" w:rsidP="00447C90">
      <w:pPr>
        <w:pStyle w:val="ListParagraph"/>
        <w:numPr>
          <w:ilvl w:val="1"/>
          <w:numId w:val="2"/>
        </w:numPr>
      </w:pPr>
      <w:r>
        <w:t xml:space="preserve">Saving students money requires strategic investment </w:t>
      </w:r>
    </w:p>
    <w:p w:rsidR="00447C90" w:rsidRDefault="00447C90" w:rsidP="00447C90">
      <w:pPr>
        <w:pStyle w:val="ListParagraph"/>
        <w:numPr>
          <w:ilvl w:val="1"/>
          <w:numId w:val="2"/>
        </w:numPr>
      </w:pPr>
      <w:r>
        <w:t>You can’t get something for nothing – but you can make choices that benefit students</w:t>
      </w:r>
    </w:p>
    <w:p w:rsidR="00F40287" w:rsidRDefault="00552460" w:rsidP="00F40287">
      <w:pPr>
        <w:pStyle w:val="ListParagraph"/>
        <w:numPr>
          <w:ilvl w:val="0"/>
          <w:numId w:val="2"/>
        </w:numPr>
      </w:pPr>
      <w:r>
        <w:t>M</w:t>
      </w:r>
      <w:r w:rsidR="00F40287">
        <w:t xml:space="preserve">ath courses are required of </w:t>
      </w:r>
      <w:r w:rsidR="00E848EB">
        <w:t xml:space="preserve">most </w:t>
      </w:r>
      <w:r w:rsidR="00F40287">
        <w:t xml:space="preserve">students </w:t>
      </w:r>
      <w:r w:rsidR="00EC4487">
        <w:t xml:space="preserve">so the magnitude of </w:t>
      </w:r>
      <w:r w:rsidR="00251EDE">
        <w:t xml:space="preserve">potential </w:t>
      </w:r>
      <w:r w:rsidR="00E848EB">
        <w:t>cost savings</w:t>
      </w:r>
      <w:r w:rsidR="00EC4487">
        <w:t xml:space="preserve"> is large</w:t>
      </w:r>
    </w:p>
    <w:p w:rsidR="00447C90" w:rsidRDefault="00447C90" w:rsidP="00EC4487">
      <w:pPr>
        <w:pStyle w:val="ListParagraph"/>
        <w:numPr>
          <w:ilvl w:val="1"/>
          <w:numId w:val="2"/>
        </w:numPr>
      </w:pPr>
      <w:r>
        <w:t xml:space="preserve">Many math books </w:t>
      </w:r>
      <w:r w:rsidR="0048039A">
        <w:t xml:space="preserve">offered by commercial publishers </w:t>
      </w:r>
      <w:r>
        <w:t xml:space="preserve">are </w:t>
      </w:r>
      <w:r w:rsidR="00A43467">
        <w:t xml:space="preserve">often </w:t>
      </w:r>
      <w:r w:rsidR="0048039A">
        <w:t xml:space="preserve">very </w:t>
      </w:r>
      <w:r>
        <w:t>expensive</w:t>
      </w:r>
    </w:p>
    <w:p w:rsidR="0048039A" w:rsidRDefault="00447C90" w:rsidP="00EC4487">
      <w:pPr>
        <w:pStyle w:val="ListParagraph"/>
        <w:numPr>
          <w:ilvl w:val="1"/>
          <w:numId w:val="2"/>
        </w:numPr>
      </w:pPr>
      <w:r>
        <w:t xml:space="preserve">Only new purchases come with </w:t>
      </w:r>
      <w:r w:rsidR="00552460">
        <w:t xml:space="preserve">free </w:t>
      </w:r>
      <w:r>
        <w:t>access to the online engagement point</w:t>
      </w:r>
      <w:r w:rsidR="0048039A">
        <w:t>s</w:t>
      </w:r>
      <w:r>
        <w:t xml:space="preserve"> </w:t>
      </w:r>
    </w:p>
    <w:p w:rsidR="00F40287" w:rsidRDefault="00F40287" w:rsidP="00F40287">
      <w:pPr>
        <w:pStyle w:val="ListParagraph"/>
        <w:numPr>
          <w:ilvl w:val="0"/>
          <w:numId w:val="2"/>
        </w:numPr>
      </w:pPr>
      <w:r>
        <w:t xml:space="preserve">WeBWorK gives institutions the option of developing instructional materials at NO COST to the student </w:t>
      </w:r>
    </w:p>
    <w:p w:rsidR="0048039A" w:rsidRDefault="0048039A" w:rsidP="0048039A">
      <w:pPr>
        <w:pStyle w:val="ListParagraph"/>
        <w:numPr>
          <w:ilvl w:val="1"/>
          <w:numId w:val="2"/>
        </w:numPr>
      </w:pPr>
      <w:r>
        <w:t xml:space="preserve">Instructors can use the online problem sets in conjunction with </w:t>
      </w:r>
      <w:r w:rsidR="00183CA6">
        <w:t>other open accessible resources</w:t>
      </w:r>
    </w:p>
    <w:p w:rsidR="00183CA6" w:rsidRDefault="00183CA6" w:rsidP="0048039A">
      <w:pPr>
        <w:pStyle w:val="ListParagraph"/>
        <w:numPr>
          <w:ilvl w:val="1"/>
          <w:numId w:val="2"/>
        </w:numPr>
      </w:pPr>
      <w:r>
        <w:t xml:space="preserve">Playlists of captioned videos </w:t>
      </w:r>
      <w:r w:rsidR="00E848EB">
        <w:t xml:space="preserve">can be made available </w:t>
      </w:r>
      <w:r>
        <w:t xml:space="preserve">through accessible video players  </w:t>
      </w:r>
    </w:p>
    <w:p w:rsidR="00552460" w:rsidRDefault="00E848EB" w:rsidP="00552460">
      <w:pPr>
        <w:pStyle w:val="ListParagraph"/>
        <w:numPr>
          <w:ilvl w:val="1"/>
          <w:numId w:val="2"/>
        </w:numPr>
      </w:pPr>
      <w:r>
        <w:t>Companion b</w:t>
      </w:r>
      <w:r w:rsidR="00183CA6">
        <w:t xml:space="preserve">ooks </w:t>
      </w:r>
      <w:r w:rsidR="00FA0C0E">
        <w:t xml:space="preserve">can be created with </w:t>
      </w:r>
      <w:r w:rsidR="00183CA6">
        <w:t>accessible formats prior to deployment in courses</w:t>
      </w:r>
    </w:p>
    <w:p w:rsidR="00F40287" w:rsidRDefault="00F40287" w:rsidP="0073091A">
      <w:pPr>
        <w:pStyle w:val="Heading2"/>
      </w:pPr>
      <w:r>
        <w:t xml:space="preserve">Control </w:t>
      </w:r>
    </w:p>
    <w:p w:rsidR="00022820" w:rsidRDefault="000D75F9" w:rsidP="00022820">
      <w:pPr>
        <w:pStyle w:val="ListParagraph"/>
        <w:numPr>
          <w:ilvl w:val="0"/>
          <w:numId w:val="2"/>
        </w:numPr>
      </w:pPr>
      <w:r>
        <w:t xml:space="preserve">Create </w:t>
      </w:r>
      <w:r w:rsidR="001A4420">
        <w:t>target</w:t>
      </w:r>
      <w:r>
        <w:t>ed</w:t>
      </w:r>
      <w:r w:rsidR="001A4420">
        <w:t xml:space="preserve"> materials</w:t>
      </w:r>
      <w:r w:rsidR="002E3CE0">
        <w:t xml:space="preserve"> that</w:t>
      </w:r>
      <w:r>
        <w:t xml:space="preserve"> align resources with institutional goals</w:t>
      </w:r>
    </w:p>
    <w:p w:rsidR="00022820" w:rsidRDefault="00022820" w:rsidP="00022820">
      <w:pPr>
        <w:pStyle w:val="ListParagraph"/>
        <w:numPr>
          <w:ilvl w:val="1"/>
          <w:numId w:val="2"/>
        </w:numPr>
      </w:pPr>
      <w:r>
        <w:t xml:space="preserve">CTE programs </w:t>
      </w:r>
      <w:r w:rsidR="002E3CE0">
        <w:t xml:space="preserve">with </w:t>
      </w:r>
      <w:r w:rsidR="0073091A">
        <w:t xml:space="preserve">problem sets </w:t>
      </w:r>
      <w:r w:rsidR="002E3CE0">
        <w:t xml:space="preserve">tailored </w:t>
      </w:r>
      <w:r w:rsidR="0073091A">
        <w:t>tied to local industry needs</w:t>
      </w:r>
      <w:r w:rsidR="000D75F9">
        <w:t xml:space="preserve"> </w:t>
      </w:r>
    </w:p>
    <w:p w:rsidR="00022820" w:rsidRDefault="00022820" w:rsidP="00022820">
      <w:pPr>
        <w:pStyle w:val="ListParagraph"/>
        <w:numPr>
          <w:ilvl w:val="1"/>
          <w:numId w:val="2"/>
        </w:numPr>
      </w:pPr>
      <w:r>
        <w:t>Interdisciplinary Synergy – High School Transitions – Other Institution specific  projects</w:t>
      </w:r>
    </w:p>
    <w:p w:rsidR="006E5036" w:rsidRDefault="000D75F9" w:rsidP="00022820">
      <w:pPr>
        <w:pStyle w:val="ListParagraph"/>
        <w:numPr>
          <w:ilvl w:val="0"/>
          <w:numId w:val="2"/>
        </w:numPr>
      </w:pPr>
      <w:r>
        <w:t>Ensure alignment</w:t>
      </w:r>
      <w:r w:rsidR="006E5036">
        <w:t xml:space="preserve"> with accessibility standards and best practices</w:t>
      </w:r>
    </w:p>
    <w:p w:rsidR="00F40287" w:rsidRDefault="00266AD0" w:rsidP="00022820">
      <w:pPr>
        <w:pStyle w:val="ListParagraph"/>
        <w:numPr>
          <w:ilvl w:val="1"/>
          <w:numId w:val="2"/>
        </w:numPr>
      </w:pPr>
      <w:r>
        <w:t>B</w:t>
      </w:r>
      <w:r w:rsidR="001A4420">
        <w:t>rowser/</w:t>
      </w:r>
      <w:r w:rsidR="00F40287">
        <w:t xml:space="preserve">AT </w:t>
      </w:r>
      <w:r w:rsidR="001A4420">
        <w:t xml:space="preserve">interoperability is </w:t>
      </w:r>
      <w:r w:rsidR="002E3CE0">
        <w:t xml:space="preserve">not static </w:t>
      </w:r>
    </w:p>
    <w:p w:rsidR="00266AD0" w:rsidRDefault="006E5036" w:rsidP="00022820">
      <w:pPr>
        <w:pStyle w:val="ListParagraph"/>
        <w:numPr>
          <w:ilvl w:val="1"/>
          <w:numId w:val="2"/>
        </w:numPr>
      </w:pPr>
      <w:r>
        <w:t>Publishers are making progress but</w:t>
      </w:r>
      <w:r w:rsidR="002E3CE0">
        <w:t xml:space="preserve"> approach has</w:t>
      </w:r>
      <w:r w:rsidR="001A4420">
        <w:t xml:space="preserve"> </w:t>
      </w:r>
      <w:r w:rsidR="00022820">
        <w:t xml:space="preserve">not </w:t>
      </w:r>
      <w:r w:rsidR="001A4420">
        <w:t xml:space="preserve">been </w:t>
      </w:r>
      <w:r w:rsidR="0073091A">
        <w:t xml:space="preserve">responsive </w:t>
      </w:r>
      <w:r w:rsidR="00022820">
        <w:t xml:space="preserve">enough for </w:t>
      </w:r>
      <w:r w:rsidR="0073091A">
        <w:t xml:space="preserve">our </w:t>
      </w:r>
      <w:r w:rsidR="00022820">
        <w:t>students</w:t>
      </w:r>
    </w:p>
    <w:p w:rsidR="00022820" w:rsidRDefault="00022820" w:rsidP="00022820">
      <w:pPr>
        <w:pStyle w:val="ListParagraph"/>
        <w:numPr>
          <w:ilvl w:val="1"/>
          <w:numId w:val="2"/>
        </w:numPr>
      </w:pPr>
      <w:r>
        <w:t>With WeBWorK we can do our own end user testing to document barriers and work collaboratively to ensure we are actually able to change the issues that caused those barriers</w:t>
      </w:r>
    </w:p>
    <w:p w:rsidR="005E57AB" w:rsidRDefault="00F40287" w:rsidP="005E57AB">
      <w:pPr>
        <w:pStyle w:val="Heading2"/>
        <w:sectPr w:rsidR="005E57AB" w:rsidSect="005E57AB">
          <w:pgSz w:w="12240" w:h="15840"/>
          <w:pgMar w:top="1440" w:right="1080" w:bottom="1440" w:left="1080" w:header="720" w:footer="720" w:gutter="0"/>
          <w:cols w:space="720"/>
          <w:docGrid w:linePitch="360"/>
        </w:sectPr>
      </w:pPr>
      <w:r w:rsidRPr="0073091A">
        <w:lastRenderedPageBreak/>
        <w:t>Reference Information</w:t>
      </w:r>
    </w:p>
    <w:p w:rsidR="008218C8" w:rsidRPr="001B7BEF" w:rsidRDefault="008218C8" w:rsidP="005E57AB">
      <w:r w:rsidRPr="001B7BEF">
        <w:lastRenderedPageBreak/>
        <w:t xml:space="preserve">Almost 57 million individuals in the U.S. </w:t>
      </w:r>
      <w:r w:rsidR="00676BE4">
        <w:t xml:space="preserve">experience </w:t>
      </w:r>
      <w:r w:rsidRPr="001B7BEF">
        <w:t>disability (19%)</w:t>
      </w:r>
      <w:r w:rsidR="00A30097">
        <w:t xml:space="preserve"> </w:t>
      </w:r>
    </w:p>
    <w:p w:rsidR="008218C8" w:rsidRPr="001B7BEF" w:rsidRDefault="008218C8" w:rsidP="008218C8">
      <w:r w:rsidRPr="001B7BEF">
        <w:rPr>
          <w:u w:val="single"/>
        </w:rPr>
        <w:t>Compared to the general pop</w:t>
      </w:r>
      <w:r>
        <w:rPr>
          <w:u w:val="single"/>
        </w:rPr>
        <w:t>ulation</w:t>
      </w:r>
      <w:r w:rsidRPr="001B7BEF">
        <w:rPr>
          <w:u w:val="single"/>
        </w:rPr>
        <w:t>:</w:t>
      </w:r>
    </w:p>
    <w:p w:rsidR="008218C8" w:rsidRPr="001B7BEF" w:rsidRDefault="008218C8" w:rsidP="008218C8">
      <w:pPr>
        <w:pStyle w:val="ListParagraph"/>
        <w:numPr>
          <w:ilvl w:val="0"/>
          <w:numId w:val="4"/>
        </w:numPr>
        <w:spacing w:before="200" w:after="200" w:line="276" w:lineRule="auto"/>
      </w:pPr>
      <w:r w:rsidRPr="001B7BEF">
        <w:t>6.2% (14.9 million) have a visual, hearing, or speech related disability</w:t>
      </w:r>
    </w:p>
    <w:p w:rsidR="008218C8" w:rsidRPr="001B7BEF" w:rsidRDefault="008218C8" w:rsidP="008218C8">
      <w:pPr>
        <w:pStyle w:val="ListParagraph"/>
        <w:numPr>
          <w:ilvl w:val="0"/>
          <w:numId w:val="4"/>
        </w:numPr>
        <w:spacing w:before="200" w:after="200" w:line="276" w:lineRule="auto"/>
      </w:pPr>
      <w:r w:rsidRPr="001B7BEF">
        <w:t>20.8% (50.5 million) have a mobility related disability</w:t>
      </w:r>
    </w:p>
    <w:p w:rsidR="008218C8" w:rsidRDefault="008218C8" w:rsidP="008218C8">
      <w:pPr>
        <w:pStyle w:val="ListParagraph"/>
        <w:numPr>
          <w:ilvl w:val="0"/>
          <w:numId w:val="4"/>
        </w:numPr>
        <w:spacing w:before="200" w:after="200" w:line="276" w:lineRule="auto"/>
      </w:pPr>
      <w:r w:rsidRPr="001B7BEF">
        <w:t>6.3% (15.1 million) have a cognitive and/or mental disability</w:t>
      </w:r>
    </w:p>
    <w:p w:rsidR="008218C8" w:rsidRDefault="008218C8" w:rsidP="008218C8">
      <w:pPr>
        <w:spacing w:after="0"/>
      </w:pPr>
      <w:r w:rsidRPr="001B7BEF">
        <w:rPr>
          <w:i/>
        </w:rPr>
        <w:t xml:space="preserve">Source: Brault, Matthew W., </w:t>
      </w:r>
      <w:r w:rsidRPr="001B7BEF">
        <w:t>"</w:t>
      </w:r>
      <w:r w:rsidRPr="001B7BEF">
        <w:rPr>
          <w:i/>
          <w:iCs/>
        </w:rPr>
        <w:t>Americans With Disabilities: 2010," Current Population Reports</w:t>
      </w:r>
      <w:r w:rsidRPr="001B7BEF">
        <w:t>, P70-131, U.S. Census Bureau, Washington, DC, 2012.</w:t>
      </w:r>
    </w:p>
    <w:p w:rsidR="005E57AB" w:rsidRPr="001B7BEF" w:rsidRDefault="005E57AB" w:rsidP="005E57AB">
      <w:r>
        <w:br w:type="column"/>
      </w:r>
      <w:r w:rsidRPr="001B7BEF">
        <w:lastRenderedPageBreak/>
        <w:t xml:space="preserve">A little over 2 million undergraduate college students </w:t>
      </w:r>
      <w:r w:rsidR="00676BE4">
        <w:t xml:space="preserve">experience </w:t>
      </w:r>
      <w:r w:rsidRPr="001B7BEF">
        <w:t>disability (11%)</w:t>
      </w:r>
    </w:p>
    <w:p w:rsidR="005E57AB" w:rsidRPr="001B7BEF" w:rsidRDefault="005E57AB" w:rsidP="005E57AB">
      <w:r w:rsidRPr="001B7BEF">
        <w:rPr>
          <w:u w:val="single"/>
        </w:rPr>
        <w:t>Compared to all college students:</w:t>
      </w:r>
    </w:p>
    <w:p w:rsidR="005E57AB" w:rsidRPr="001B7BEF" w:rsidRDefault="005E57AB" w:rsidP="005E57AB">
      <w:pPr>
        <w:numPr>
          <w:ilvl w:val="0"/>
          <w:numId w:val="4"/>
        </w:numPr>
        <w:spacing w:after="0" w:line="276" w:lineRule="auto"/>
      </w:pPr>
      <w:r w:rsidRPr="001B7BEF">
        <w:t>1% (194,000) have a visual, hearing, or speech related disability</w:t>
      </w:r>
    </w:p>
    <w:p w:rsidR="005E57AB" w:rsidRPr="001B7BEF" w:rsidRDefault="005E57AB" w:rsidP="005E57AB">
      <w:pPr>
        <w:numPr>
          <w:ilvl w:val="0"/>
          <w:numId w:val="4"/>
        </w:numPr>
        <w:spacing w:after="0" w:line="276" w:lineRule="auto"/>
      </w:pPr>
      <w:r w:rsidRPr="001B7BEF">
        <w:t>1.6% (300,000) have a mobility related disability</w:t>
      </w:r>
    </w:p>
    <w:p w:rsidR="005E57AB" w:rsidRDefault="005E57AB" w:rsidP="005E57AB">
      <w:pPr>
        <w:numPr>
          <w:ilvl w:val="0"/>
          <w:numId w:val="4"/>
        </w:numPr>
        <w:spacing w:after="0" w:line="276" w:lineRule="auto"/>
      </w:pPr>
      <w:r w:rsidRPr="001B7BEF">
        <w:t>5.4% (1,040,000) have a cognitive and/or mental disability</w:t>
      </w:r>
    </w:p>
    <w:p w:rsidR="005E57AB" w:rsidRDefault="005E57AB" w:rsidP="005E57AB">
      <w:pPr>
        <w:spacing w:after="0"/>
        <w:rPr>
          <w:i/>
        </w:rPr>
        <w:sectPr w:rsidR="005E57AB" w:rsidSect="005E57AB">
          <w:type w:val="continuous"/>
          <w:pgSz w:w="12240" w:h="15840"/>
          <w:pgMar w:top="1440" w:right="1080" w:bottom="1440" w:left="1080" w:header="720" w:footer="720" w:gutter="0"/>
          <w:cols w:num="2" w:space="720"/>
          <w:docGrid w:linePitch="360"/>
        </w:sectPr>
      </w:pPr>
      <w:r w:rsidRPr="001B7BEF">
        <w:rPr>
          <w:i/>
        </w:rPr>
        <w:t xml:space="preserve">Source: U.S. Department of Education, National Center for Education Statistics, 2007-2008 National </w:t>
      </w:r>
      <w:r>
        <w:rPr>
          <w:i/>
        </w:rPr>
        <w:t xml:space="preserve"> Postsecondary Student Aid Study</w:t>
      </w:r>
    </w:p>
    <w:p w:rsidR="005E57AB" w:rsidRDefault="005E57AB" w:rsidP="0073091A">
      <w:pPr>
        <w:pStyle w:val="Heading2"/>
        <w:rPr>
          <w:rFonts w:eastAsia="Times New Roman"/>
        </w:rPr>
        <w:sectPr w:rsidR="005E57AB" w:rsidSect="005E57AB">
          <w:type w:val="continuous"/>
          <w:pgSz w:w="12240" w:h="15840"/>
          <w:pgMar w:top="1440" w:right="1080" w:bottom="1440" w:left="1080" w:header="720" w:footer="720" w:gutter="0"/>
          <w:cols w:space="720"/>
          <w:docGrid w:linePitch="360"/>
        </w:sectPr>
      </w:pPr>
    </w:p>
    <w:p w:rsidR="00A43467" w:rsidRDefault="005E57AB" w:rsidP="0073091A">
      <w:pPr>
        <w:pStyle w:val="Heading2"/>
        <w:rPr>
          <w:rFonts w:eastAsia="Times New Roman"/>
        </w:rPr>
      </w:pPr>
      <w:r>
        <w:rPr>
          <w:rFonts w:eastAsia="Times New Roman"/>
        </w:rPr>
        <w:lastRenderedPageBreak/>
        <w:t>S</w:t>
      </w:r>
      <w:r w:rsidR="0073091A">
        <w:rPr>
          <w:rFonts w:eastAsia="Times New Roman"/>
        </w:rPr>
        <w:t xml:space="preserve">elected </w:t>
      </w:r>
      <w:r w:rsidR="00A43467">
        <w:rPr>
          <w:rFonts w:eastAsia="Times New Roman"/>
        </w:rPr>
        <w:t>Resources</w:t>
      </w:r>
    </w:p>
    <w:p w:rsidR="00A43467" w:rsidRDefault="00A43467" w:rsidP="000D75F9">
      <w:pPr>
        <w:spacing w:after="0"/>
      </w:pPr>
      <w:r>
        <w:t>W</w:t>
      </w:r>
      <w:r w:rsidR="000D75F9">
        <w:t xml:space="preserve">eb </w:t>
      </w:r>
      <w:r>
        <w:t>C</w:t>
      </w:r>
      <w:r w:rsidR="000D75F9">
        <w:t xml:space="preserve">ontent </w:t>
      </w:r>
      <w:r>
        <w:t>A</w:t>
      </w:r>
      <w:r w:rsidR="000D75F9">
        <w:t xml:space="preserve">ccessibility </w:t>
      </w:r>
      <w:r>
        <w:t>G</w:t>
      </w:r>
      <w:r w:rsidR="000D75F9">
        <w:t xml:space="preserve">uidelines </w:t>
      </w:r>
      <w:r>
        <w:t xml:space="preserve"> – </w:t>
      </w:r>
      <w:hyperlink r:id="rId7" w:history="1">
        <w:r w:rsidR="000D75F9" w:rsidRPr="00351BAD">
          <w:rPr>
            <w:rStyle w:val="Hyperlink"/>
          </w:rPr>
          <w:t>http://www.w3.org/WAI/intro/wcag</w:t>
        </w:r>
      </w:hyperlink>
      <w:r w:rsidR="000D75F9">
        <w:t xml:space="preserve"> </w:t>
      </w:r>
    </w:p>
    <w:p w:rsidR="00A43467" w:rsidRDefault="000D75F9" w:rsidP="002E3CE0">
      <w:pPr>
        <w:spacing w:before="60" w:after="0"/>
      </w:pPr>
      <w:r>
        <w:t xml:space="preserve">Web Accessibility in Mind - </w:t>
      </w:r>
      <w:hyperlink r:id="rId8" w:history="1">
        <w:r w:rsidRPr="00351BAD">
          <w:rPr>
            <w:rStyle w:val="Hyperlink"/>
          </w:rPr>
          <w:t>http://webaim.org/</w:t>
        </w:r>
      </w:hyperlink>
      <w:r>
        <w:t xml:space="preserve"> </w:t>
      </w:r>
    </w:p>
    <w:p w:rsidR="00467056" w:rsidRDefault="00467056" w:rsidP="002E3CE0">
      <w:pPr>
        <w:spacing w:before="60" w:after="0"/>
      </w:pPr>
      <w:r>
        <w:t xml:space="preserve">Article on Web Accessibility in Higher Ed - </w:t>
      </w:r>
      <w:hyperlink r:id="rId9" w:history="1">
        <w:r w:rsidRPr="00C70471">
          <w:rPr>
            <w:rStyle w:val="Hyperlink"/>
          </w:rPr>
          <w:t>http://itd.athenpro.org/volume13/number1/thompson.html</w:t>
        </w:r>
      </w:hyperlink>
      <w:r>
        <w:t xml:space="preserve"> </w:t>
      </w:r>
    </w:p>
    <w:p w:rsidR="00A43467" w:rsidRDefault="000D75F9" w:rsidP="002E3CE0">
      <w:pPr>
        <w:spacing w:before="60" w:after="0"/>
      </w:pPr>
      <w:r>
        <w:t xml:space="preserve">PCC </w:t>
      </w:r>
      <w:r w:rsidR="00A43467">
        <w:t>Math Resources</w:t>
      </w:r>
      <w:r>
        <w:t xml:space="preserve"> page</w:t>
      </w:r>
      <w:r w:rsidR="00A43467">
        <w:t xml:space="preserve"> – </w:t>
      </w:r>
      <w:hyperlink r:id="rId10" w:history="1">
        <w:r w:rsidRPr="00351BAD">
          <w:rPr>
            <w:rStyle w:val="Hyperlink"/>
          </w:rPr>
          <w:t>http://www.pcc.edu/resources/instructional-support/access/math.html</w:t>
        </w:r>
      </w:hyperlink>
      <w:r>
        <w:t xml:space="preserve"> </w:t>
      </w:r>
    </w:p>
    <w:p w:rsidR="000D75F9" w:rsidRDefault="000D75F9" w:rsidP="00467056">
      <w:pPr>
        <w:spacing w:before="60" w:after="360"/>
      </w:pPr>
      <w:r>
        <w:t xml:space="preserve">Clear Standard for Access to Instruction - </w:t>
      </w:r>
      <w:hyperlink r:id="rId11" w:history="1">
        <w:r w:rsidRPr="00351BAD">
          <w:rPr>
            <w:rStyle w:val="Hyperlink"/>
          </w:rPr>
          <w:t>http://www.ahead.org/DOJ_Louisiana_Tech_Settlement</w:t>
        </w:r>
      </w:hyperlink>
      <w:r>
        <w:t xml:space="preserve"> </w:t>
      </w:r>
    </w:p>
    <w:p w:rsidR="0073091A" w:rsidRDefault="00A43467" w:rsidP="0073091A">
      <w:pPr>
        <w:pStyle w:val="Heading2"/>
        <w:rPr>
          <w:rFonts w:eastAsia="Times New Roman"/>
        </w:rPr>
      </w:pPr>
      <w:r>
        <w:rPr>
          <w:rFonts w:eastAsia="Times New Roman"/>
        </w:rPr>
        <w:t xml:space="preserve">Selected </w:t>
      </w:r>
      <w:r w:rsidR="0073091A">
        <w:rPr>
          <w:rFonts w:eastAsia="Times New Roman"/>
        </w:rPr>
        <w:t>Quotes</w:t>
      </w:r>
    </w:p>
    <w:p w:rsidR="00467056" w:rsidRPr="00791B91" w:rsidRDefault="00467056" w:rsidP="00467056">
      <w:pPr>
        <w:pStyle w:val="blockquote"/>
        <w:spacing w:before="120" w:after="0"/>
        <w:ind w:left="58"/>
        <w:rPr>
          <w:sz w:val="22"/>
        </w:rPr>
      </w:pPr>
      <w:r w:rsidRPr="00791B91">
        <w:rPr>
          <w:sz w:val="22"/>
        </w:rPr>
        <w:t>Requiring use of an emerging technology in a classroom environment when the technology is inaccessible to an entire population of individuals with disabilities – individuals with visual disabilities – is discrimination prohibited by the Americans with Disabilities Act of 1990 (ADA) and Section 504 of the Rehabilitation Act of 1973 (Section 504) unless those individuals are provided accommodations or modifications that permit them to receive all the educational benefits provided by the technology in an equally effective and equally integrated manner.</w:t>
      </w:r>
    </w:p>
    <w:p w:rsidR="00467056" w:rsidRDefault="00467056" w:rsidP="00467056">
      <w:pPr>
        <w:spacing w:before="120" w:after="360"/>
        <w:jc w:val="right"/>
      </w:pPr>
      <w:r w:rsidRPr="00791B91">
        <w:t>From the June 29, 2010 Dear Colleague Letter</w:t>
      </w:r>
    </w:p>
    <w:p w:rsidR="0073091A" w:rsidRPr="00427D24" w:rsidRDefault="0073091A" w:rsidP="0073091A">
      <w:pPr>
        <w:shd w:val="clear" w:color="auto" w:fill="FFFFFF"/>
        <w:spacing w:before="120" w:after="0"/>
        <w:ind w:left="58"/>
        <w:rPr>
          <w:rFonts w:eastAsia="Times New Roman" w:cs="Times New Roman"/>
          <w:i/>
        </w:rPr>
      </w:pPr>
      <w:r w:rsidRPr="00427D24">
        <w:rPr>
          <w:rFonts w:eastAsia="Times New Roman" w:cs="Times New Roman"/>
          <w:i/>
        </w:rPr>
        <w:t>"Accessible"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 Although this might not result in identical ease of use compared to that of persons without disabilities, it still must ensure equal opportunity to the educational benefits and opportunities afforded by the technology and equal treatment in the use of such technology.</w:t>
      </w:r>
    </w:p>
    <w:p w:rsidR="001801B1" w:rsidRDefault="00672B40" w:rsidP="005E57AB">
      <w:pPr>
        <w:spacing w:before="120" w:after="360"/>
        <w:jc w:val="right"/>
        <w:rPr>
          <w:rFonts w:eastAsia="Times New Roman" w:cs="Times New Roman"/>
          <w:iCs/>
        </w:rPr>
      </w:pPr>
      <w:r>
        <w:rPr>
          <w:rFonts w:eastAsia="Times New Roman" w:cs="Times New Roman"/>
          <w:iCs/>
        </w:rPr>
        <w:t>Source-</w:t>
      </w:r>
      <w:r w:rsidR="0073091A" w:rsidRPr="000B3DC7">
        <w:rPr>
          <w:rFonts w:eastAsia="Times New Roman" w:cs="Times New Roman"/>
          <w:iCs/>
        </w:rPr>
        <w:t xml:space="preserve">Resolution Agreement South Carolina Technical College System OCR </w:t>
      </w:r>
      <w:r w:rsidR="005E57AB">
        <w:rPr>
          <w:rFonts w:eastAsia="Times New Roman" w:cs="Times New Roman"/>
          <w:iCs/>
        </w:rPr>
        <w:t>Compliance Review No. 11-11-600</w:t>
      </w:r>
      <w:r>
        <w:rPr>
          <w:rFonts w:eastAsia="Times New Roman" w:cs="Times New Roman"/>
          <w:iCs/>
        </w:rPr>
        <w:t>2</w:t>
      </w:r>
    </w:p>
    <w:sectPr w:rsidR="001801B1" w:rsidSect="005E57A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E2" w:rsidRDefault="001341E2" w:rsidP="00672B40">
      <w:pPr>
        <w:spacing w:after="0" w:line="240" w:lineRule="auto"/>
      </w:pPr>
      <w:r>
        <w:separator/>
      </w:r>
    </w:p>
  </w:endnote>
  <w:endnote w:type="continuationSeparator" w:id="0">
    <w:p w:rsidR="001341E2" w:rsidRDefault="001341E2" w:rsidP="0067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E2" w:rsidRDefault="001341E2" w:rsidP="00672B40">
      <w:pPr>
        <w:spacing w:after="0" w:line="240" w:lineRule="auto"/>
      </w:pPr>
      <w:r>
        <w:separator/>
      </w:r>
    </w:p>
  </w:footnote>
  <w:footnote w:type="continuationSeparator" w:id="0">
    <w:p w:rsidR="001341E2" w:rsidRDefault="001341E2" w:rsidP="00672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038"/>
    <w:multiLevelType w:val="hybridMultilevel"/>
    <w:tmpl w:val="9FF4F498"/>
    <w:lvl w:ilvl="0" w:tplc="5292FA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94601"/>
    <w:multiLevelType w:val="hybridMultilevel"/>
    <w:tmpl w:val="CF7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27943"/>
    <w:multiLevelType w:val="hybridMultilevel"/>
    <w:tmpl w:val="8776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77155"/>
    <w:multiLevelType w:val="hybridMultilevel"/>
    <w:tmpl w:val="7D106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B1"/>
    <w:rsid w:val="00022820"/>
    <w:rsid w:val="000502DF"/>
    <w:rsid w:val="000D75F9"/>
    <w:rsid w:val="00126F22"/>
    <w:rsid w:val="001341E2"/>
    <w:rsid w:val="00166182"/>
    <w:rsid w:val="001801B1"/>
    <w:rsid w:val="00183CA6"/>
    <w:rsid w:val="001A4420"/>
    <w:rsid w:val="00201501"/>
    <w:rsid w:val="00251EDE"/>
    <w:rsid w:val="00266AD0"/>
    <w:rsid w:val="002E3CE0"/>
    <w:rsid w:val="002E5598"/>
    <w:rsid w:val="00447C90"/>
    <w:rsid w:val="00467056"/>
    <w:rsid w:val="00472F46"/>
    <w:rsid w:val="0048039A"/>
    <w:rsid w:val="004C40B4"/>
    <w:rsid w:val="00552460"/>
    <w:rsid w:val="005B481B"/>
    <w:rsid w:val="005E57AB"/>
    <w:rsid w:val="00672B40"/>
    <w:rsid w:val="00676BE4"/>
    <w:rsid w:val="006E5036"/>
    <w:rsid w:val="0073091A"/>
    <w:rsid w:val="007A1E9E"/>
    <w:rsid w:val="008218C8"/>
    <w:rsid w:val="00A02786"/>
    <w:rsid w:val="00A30097"/>
    <w:rsid w:val="00A43467"/>
    <w:rsid w:val="00A650DD"/>
    <w:rsid w:val="00AC0DB4"/>
    <w:rsid w:val="00BC1232"/>
    <w:rsid w:val="00BD1C16"/>
    <w:rsid w:val="00D342F8"/>
    <w:rsid w:val="00D56971"/>
    <w:rsid w:val="00E848EB"/>
    <w:rsid w:val="00EC4487"/>
    <w:rsid w:val="00F40287"/>
    <w:rsid w:val="00F74321"/>
    <w:rsid w:val="00FA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F4D7B-CF4F-4AEE-866B-F0040090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0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09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0DD"/>
    <w:pPr>
      <w:ind w:left="720"/>
      <w:contextualSpacing/>
    </w:pPr>
  </w:style>
  <w:style w:type="character" w:customStyle="1" w:styleId="Heading1Char">
    <w:name w:val="Heading 1 Char"/>
    <w:basedOn w:val="DefaultParagraphFont"/>
    <w:link w:val="Heading1"/>
    <w:uiPriority w:val="9"/>
    <w:rsid w:val="00A650D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650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50DD"/>
    <w:rPr>
      <w:rFonts w:eastAsiaTheme="minorEastAsia"/>
      <w:color w:val="5A5A5A" w:themeColor="text1" w:themeTint="A5"/>
      <w:spacing w:val="15"/>
    </w:rPr>
  </w:style>
  <w:style w:type="character" w:styleId="SubtleEmphasis">
    <w:name w:val="Subtle Emphasis"/>
    <w:basedOn w:val="DefaultParagraphFont"/>
    <w:uiPriority w:val="19"/>
    <w:qFormat/>
    <w:rsid w:val="00A650DD"/>
    <w:rPr>
      <w:i/>
      <w:iCs/>
      <w:color w:val="404040" w:themeColor="text1" w:themeTint="BF"/>
    </w:rPr>
  </w:style>
  <w:style w:type="character" w:customStyle="1" w:styleId="Heading2Char">
    <w:name w:val="Heading 2 Char"/>
    <w:basedOn w:val="DefaultParagraphFont"/>
    <w:link w:val="Heading2"/>
    <w:uiPriority w:val="9"/>
    <w:rsid w:val="0073091A"/>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650DD"/>
    <w:rPr>
      <w:color w:val="808080"/>
    </w:rPr>
  </w:style>
  <w:style w:type="paragraph" w:customStyle="1" w:styleId="blockquote">
    <w:name w:val="block quote"/>
    <w:basedOn w:val="Quote"/>
    <w:rsid w:val="005E57AB"/>
    <w:pPr>
      <w:spacing w:after="200" w:line="276" w:lineRule="auto"/>
      <w:ind w:left="0" w:right="0"/>
      <w:jc w:val="left"/>
    </w:pPr>
    <w:rPr>
      <w:rFonts w:eastAsiaTheme="minorEastAsia"/>
      <w:color w:val="auto"/>
      <w:sz w:val="20"/>
      <w:szCs w:val="20"/>
    </w:rPr>
  </w:style>
  <w:style w:type="paragraph" w:styleId="Quote">
    <w:name w:val="Quote"/>
    <w:basedOn w:val="Normal"/>
    <w:next w:val="Normal"/>
    <w:link w:val="QuoteChar"/>
    <w:uiPriority w:val="29"/>
    <w:qFormat/>
    <w:rsid w:val="005E57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E57AB"/>
    <w:rPr>
      <w:i/>
      <w:iCs/>
      <w:color w:val="404040" w:themeColor="text1" w:themeTint="BF"/>
    </w:rPr>
  </w:style>
  <w:style w:type="character" w:styleId="Hyperlink">
    <w:name w:val="Hyperlink"/>
    <w:basedOn w:val="DefaultParagraphFont"/>
    <w:uiPriority w:val="99"/>
    <w:unhideWhenUsed/>
    <w:rsid w:val="000D75F9"/>
    <w:rPr>
      <w:color w:val="0563C1" w:themeColor="hyperlink"/>
      <w:u w:val="single"/>
    </w:rPr>
  </w:style>
  <w:style w:type="paragraph" w:styleId="Header">
    <w:name w:val="header"/>
    <w:basedOn w:val="Normal"/>
    <w:link w:val="HeaderChar"/>
    <w:uiPriority w:val="99"/>
    <w:unhideWhenUsed/>
    <w:rsid w:val="0067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40"/>
  </w:style>
  <w:style w:type="paragraph" w:styleId="Footer">
    <w:name w:val="footer"/>
    <w:basedOn w:val="Normal"/>
    <w:link w:val="FooterChar"/>
    <w:uiPriority w:val="99"/>
    <w:unhideWhenUsed/>
    <w:rsid w:val="0067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3.org/WAI/intro/wc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ead.org/DOJ_Louisiana_Tech_Settlement" TargetMode="External"/><Relationship Id="rId5" Type="http://schemas.openxmlformats.org/officeDocument/2006/relationships/footnotes" Target="footnotes.xml"/><Relationship Id="rId10" Type="http://schemas.openxmlformats.org/officeDocument/2006/relationships/hyperlink" Target="http://www.pcc.edu/resources/instructional-support/access/math.html" TargetMode="External"/><Relationship Id="rId4" Type="http://schemas.openxmlformats.org/officeDocument/2006/relationships/webSettings" Target="webSettings.xml"/><Relationship Id="rId9" Type="http://schemas.openxmlformats.org/officeDocument/2006/relationships/hyperlink" Target="http://itd.athenpro.org/volume13/number1/thomp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Parks</dc:creator>
  <cp:keywords/>
  <dc:description/>
  <cp:lastModifiedBy>Kaela Parks</cp:lastModifiedBy>
  <cp:revision>2</cp:revision>
  <dcterms:created xsi:type="dcterms:W3CDTF">2014-11-16T18:52:00Z</dcterms:created>
  <dcterms:modified xsi:type="dcterms:W3CDTF">2014-11-16T18:52:00Z</dcterms:modified>
</cp:coreProperties>
</file>